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4C0977B" w:rsidR="00796C4E" w:rsidRPr="00910B8B" w:rsidRDefault="00570019">
      <w:pPr>
        <w:pStyle w:val="Title"/>
      </w:pPr>
      <w:r>
        <w:rPr>
          <w:smallCaps/>
          <w:sz w:val="36"/>
          <w:szCs w:val="36"/>
        </w:rPr>
        <w:t xml:space="preserve">Cancer Crusade Joint Attachment for Hospital/Ambulatory </w:t>
      </w:r>
    </w:p>
    <w:p w14:paraId="00000002" w14:textId="77777777" w:rsidR="00796C4E" w:rsidRDefault="00796C4E">
      <w:pPr>
        <w:pStyle w:val="Title"/>
      </w:pPr>
    </w:p>
    <w:p w14:paraId="00000003" w14:textId="77777777" w:rsidR="00796C4E" w:rsidRDefault="00910B8B">
      <w:pPr>
        <w:pStyle w:val="Title"/>
      </w:pPr>
      <w:r>
        <w:rPr>
          <w:smallCaps/>
        </w:rPr>
        <w:t>SERVICES AND PROCEDURES TO BE PROVIDED</w:t>
      </w:r>
    </w:p>
    <w:p w14:paraId="00000005" w14:textId="77777777" w:rsidR="00796C4E" w:rsidRDefault="00796C4E"/>
    <w:p w14:paraId="00000006" w14:textId="77777777" w:rsidR="00796C4E" w:rsidRDefault="00910B8B">
      <w:pPr>
        <w:spacing w:after="0" w:line="240" w:lineRule="auto"/>
      </w:pPr>
      <w:r>
        <w:rPr>
          <w:rFonts w:ascii="Times New Roman" w:eastAsia="Times New Roman" w:hAnsi="Times New Roman" w:cs="Times New Roman"/>
          <w:b/>
          <w:sz w:val="24"/>
          <w:szCs w:val="24"/>
        </w:rPr>
        <w:t xml:space="preserve">The Contractor agrees to: </w:t>
      </w:r>
    </w:p>
    <w:p w14:paraId="00000007" w14:textId="77777777" w:rsidR="00796C4E" w:rsidRDefault="00910B8B">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Comply with Maryland Department of Health Data Use Policy 01.06.01 and Maryland Department of Health Strategic Data Initiative policies and procedures for any data that </w:t>
      </w:r>
      <w:proofErr w:type="gramStart"/>
      <w:r>
        <w:rPr>
          <w:rFonts w:ascii="Times New Roman" w:eastAsia="Times New Roman" w:hAnsi="Times New Roman" w:cs="Times New Roman"/>
          <w:color w:val="000000"/>
          <w:sz w:val="24"/>
          <w:szCs w:val="24"/>
        </w:rPr>
        <w:t>is considered</w:t>
      </w:r>
      <w:proofErr w:type="gramEnd"/>
      <w:r>
        <w:rPr>
          <w:rFonts w:ascii="Times New Roman" w:eastAsia="Times New Roman" w:hAnsi="Times New Roman" w:cs="Times New Roman"/>
          <w:color w:val="000000"/>
          <w:sz w:val="24"/>
          <w:szCs w:val="24"/>
        </w:rPr>
        <w:t xml:space="preserve"> Maryland Department of Health data.</w:t>
      </w:r>
      <w:r>
        <w:rPr>
          <w:rFonts w:ascii="Times New Roman" w:eastAsia="Times New Roman" w:hAnsi="Times New Roman" w:cs="Times New Roman"/>
          <w:sz w:val="24"/>
          <w:szCs w:val="24"/>
        </w:rPr>
        <w:t xml:space="preserve"> </w:t>
      </w:r>
      <w:r>
        <w:t xml:space="preserve">     </w:t>
      </w:r>
    </w:p>
    <w:p w14:paraId="00000008" w14:textId="77777777" w:rsidR="00796C4E" w:rsidRDefault="00796C4E">
      <w:pPr>
        <w:spacing w:after="0" w:line="240" w:lineRule="auto"/>
        <w:ind w:left="1080"/>
      </w:pPr>
    </w:p>
    <w:p w14:paraId="00000009" w14:textId="56AD65A0" w:rsidR="00796C4E" w:rsidRDefault="00910B8B">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with the LCP to obtain approval from the LCP for payment of hospital services prior to delivery of services not listed in Part I, Section A, of the Service Contract. </w:t>
      </w:r>
    </w:p>
    <w:p w14:paraId="0000000A" w14:textId="77777777" w:rsidR="00796C4E" w:rsidRDefault="00796C4E">
      <w:pPr>
        <w:spacing w:after="0" w:line="240" w:lineRule="auto"/>
        <w:ind w:left="1080"/>
      </w:pPr>
    </w:p>
    <w:p w14:paraId="0000000B" w14:textId="77777777" w:rsidR="00796C4E" w:rsidRDefault="00910B8B">
      <w:pPr>
        <w:numPr>
          <w:ilvl w:val="0"/>
          <w:numId w:val="3"/>
        </w:numPr>
        <w:spacing w:after="0"/>
        <w:ind w:left="1440" w:hanging="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Follow the most recent version of the Minimal Clinical Elements (Attached) developed by the Maryland Department of Health (MDH) Cancer Medical Advisory Committees as the standard for care for Maryland residents screened and diagnosed through the LCP.</w:t>
      </w:r>
    </w:p>
    <w:p w14:paraId="0000000C" w14:textId="77777777" w:rsidR="00796C4E" w:rsidRDefault="00796C4E">
      <w:pPr>
        <w:spacing w:after="0"/>
        <w:ind w:left="720"/>
      </w:pPr>
    </w:p>
    <w:p w14:paraId="0000000D" w14:textId="5F14404A" w:rsidR="00796C4E" w:rsidRDefault="00910B8B">
      <w:pPr>
        <w:numPr>
          <w:ilvl w:val="0"/>
          <w:numId w:val="3"/>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clients referred by the LCP for </w:t>
      </w:r>
      <w:r w:rsidR="00570019" w:rsidRPr="00570019">
        <w:rPr>
          <w:rFonts w:ascii="Times New Roman" w:eastAsia="Times New Roman" w:hAnsi="Times New Roman" w:cs="Times New Roman"/>
          <w:sz w:val="24"/>
          <w:szCs w:val="24"/>
        </w:rPr>
        <w:t>colorectal</w:t>
      </w:r>
      <w:r>
        <w:rPr>
          <w:rFonts w:ascii="Times New Roman" w:eastAsia="Times New Roman" w:hAnsi="Times New Roman" w:cs="Times New Roman"/>
          <w:sz w:val="24"/>
          <w:szCs w:val="24"/>
        </w:rPr>
        <w:t xml:space="preserve"> cancer screening and diagnostic/treatment services within a </w:t>
      </w:r>
      <w:proofErr w:type="gramStart"/>
      <w:r>
        <w:rPr>
          <w:rFonts w:ascii="Times New Roman" w:eastAsia="Times New Roman" w:hAnsi="Times New Roman" w:cs="Times New Roman"/>
          <w:sz w:val="24"/>
          <w:szCs w:val="24"/>
        </w:rPr>
        <w:t>time frame</w:t>
      </w:r>
      <w:proofErr w:type="gramEnd"/>
      <w:r>
        <w:rPr>
          <w:rFonts w:ascii="Times New Roman" w:eastAsia="Times New Roman" w:hAnsi="Times New Roman" w:cs="Times New Roman"/>
          <w:sz w:val="24"/>
          <w:szCs w:val="24"/>
        </w:rPr>
        <w:t xml:space="preserve"> that should not be more than four (4) weeks from the date of referral. </w:t>
      </w:r>
    </w:p>
    <w:p w14:paraId="0000000E" w14:textId="77777777" w:rsidR="00796C4E" w:rsidRDefault="00796C4E">
      <w:pPr>
        <w:spacing w:after="0" w:line="240" w:lineRule="auto"/>
        <w:ind w:left="1440"/>
      </w:pPr>
    </w:p>
    <w:p w14:paraId="0000000F" w14:textId="77777777" w:rsidR="00796C4E" w:rsidRDefault="00910B8B">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Send the medical record or discharge summary of the hospitalization to the LCP within fourteen (14) calendar days of discharge in order to receive payment.</w:t>
      </w:r>
    </w:p>
    <w:p w14:paraId="00000010" w14:textId="77777777" w:rsidR="00796C4E" w:rsidRDefault="00796C4E">
      <w:pPr>
        <w:spacing w:after="0" w:line="240" w:lineRule="auto"/>
        <w:ind w:left="1080"/>
      </w:pPr>
    </w:p>
    <w:p w14:paraId="00000011" w14:textId="77777777" w:rsidR="00796C4E" w:rsidRDefault="00910B8B">
      <w:pPr>
        <w:spacing w:after="0" w:line="240" w:lineRule="auto"/>
      </w:pPr>
      <w:r>
        <w:rPr>
          <w:rFonts w:ascii="Times New Roman" w:eastAsia="Times New Roman" w:hAnsi="Times New Roman" w:cs="Times New Roman"/>
          <w:b/>
          <w:sz w:val="24"/>
          <w:szCs w:val="24"/>
        </w:rPr>
        <w:t>Qualifications and Insurance</w:t>
      </w:r>
    </w:p>
    <w:p w14:paraId="00000012" w14:textId="3157766D" w:rsidR="00796C4E" w:rsidRDefault="00910B8B">
      <w:pPr>
        <w:numPr>
          <w:ilvl w:val="0"/>
          <w:numId w:val="3"/>
        </w:num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clinical services performed by a licensed physician, nurse practitioner, or </w:t>
      </w:r>
      <w:proofErr w:type="gramStart"/>
      <w:r>
        <w:rPr>
          <w:rFonts w:ascii="Times New Roman" w:eastAsia="Times New Roman" w:hAnsi="Times New Roman" w:cs="Times New Roman"/>
          <w:color w:val="000000"/>
          <w:sz w:val="24"/>
          <w:szCs w:val="24"/>
        </w:rPr>
        <w:t>physician</w:t>
      </w:r>
      <w:proofErr w:type="gramEnd"/>
      <w:r>
        <w:rPr>
          <w:rFonts w:ascii="Times New Roman" w:eastAsia="Times New Roman" w:hAnsi="Times New Roman" w:cs="Times New Roman"/>
          <w:color w:val="000000"/>
          <w:sz w:val="24"/>
          <w:szCs w:val="24"/>
        </w:rPr>
        <w:t xml:space="preserve"> assistant who has received specialized medical training to perform these procedures.</w:t>
      </w:r>
    </w:p>
    <w:p w14:paraId="00000013" w14:textId="77777777" w:rsidR="00796C4E" w:rsidRDefault="00796C4E">
      <w:pPr>
        <w:spacing w:after="0"/>
      </w:pPr>
    </w:p>
    <w:p w14:paraId="00000014" w14:textId="77777777" w:rsidR="00796C4E" w:rsidRDefault="00910B8B">
      <w:pPr>
        <w:numPr>
          <w:ilvl w:val="0"/>
          <w:numId w:val="3"/>
        </w:num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physicians performing services under this Contract, provide a copy of each individual’s current medical license from the state in which they are practicing and provide a copy of his/her specialty board certification, if applicable, to the LCP Contract Monitor with this signed Contract.</w:t>
      </w:r>
    </w:p>
    <w:p w14:paraId="00000015" w14:textId="77777777" w:rsidR="00796C4E" w:rsidRDefault="00796C4E">
      <w:pPr>
        <w:spacing w:after="0" w:line="240" w:lineRule="auto"/>
      </w:pPr>
    </w:p>
    <w:p w14:paraId="00000016" w14:textId="77777777" w:rsidR="00796C4E" w:rsidRDefault="00910B8B">
      <w:pPr>
        <w:numPr>
          <w:ilvl w:val="0"/>
          <w:numId w:val="3"/>
        </w:num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 and maintain current medical liability insurance coverage and assume liability for the procedures and/or services rendered under this Contract; and provide documentation to the LCP Contract Monitor with this signed Contract.</w:t>
      </w:r>
    </w:p>
    <w:p w14:paraId="00000017" w14:textId="77777777" w:rsidR="00796C4E" w:rsidRDefault="00796C4E">
      <w:pPr>
        <w:spacing w:after="0" w:line="240" w:lineRule="auto"/>
        <w:ind w:left="1080"/>
      </w:pPr>
    </w:p>
    <w:p w14:paraId="00000018" w14:textId="77777777" w:rsidR="00796C4E" w:rsidRDefault="00910B8B">
      <w:pPr>
        <w:numPr>
          <w:ilvl w:val="0"/>
          <w:numId w:val="3"/>
        </w:num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Adhere to the provisions of COMAR 10.27.07, Practice of the Nurse Practitioner, and, for each nurse practitioner performing services under this Contract, provide a </w:t>
      </w:r>
      <w:r>
        <w:rPr>
          <w:rFonts w:ascii="Times New Roman" w:eastAsia="Times New Roman" w:hAnsi="Times New Roman" w:cs="Times New Roman"/>
          <w:color w:val="000000"/>
          <w:sz w:val="24"/>
          <w:szCs w:val="24"/>
        </w:rPr>
        <w:lastRenderedPageBreak/>
        <w:t xml:space="preserve">copy of the individual's current Maryland nursing license and a copy of his/her area of certification, to the LCP Contract Monitor with this signed contract.  </w:t>
      </w:r>
    </w:p>
    <w:p w14:paraId="00000019" w14:textId="77777777" w:rsidR="00796C4E" w:rsidRDefault="00796C4E">
      <w:pPr>
        <w:spacing w:after="0"/>
        <w:ind w:left="720"/>
        <w:rPr>
          <w:rFonts w:ascii="Arial" w:eastAsia="Arial" w:hAnsi="Arial" w:cs="Arial"/>
        </w:rPr>
      </w:pPr>
    </w:p>
    <w:p w14:paraId="0000001A" w14:textId="77777777" w:rsidR="00796C4E" w:rsidRDefault="00910B8B">
      <w:pPr>
        <w:numPr>
          <w:ilvl w:val="0"/>
          <w:numId w:val="3"/>
        </w:num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provisions of COMAR 10.32.03, Delegation of Duties by a Licensed Physician- Physician Assistant, and, for each physician assistant performing services under this Contract, provide a copy of the individual’s current Maryland certification, to the LCP Contract Monitor along with this signed Contract.</w:t>
      </w:r>
    </w:p>
    <w:p w14:paraId="0000001B" w14:textId="77777777" w:rsidR="00796C4E" w:rsidRDefault="00796C4E">
      <w:pPr>
        <w:spacing w:after="0"/>
        <w:rPr>
          <w:rFonts w:ascii="Arial" w:eastAsia="Arial" w:hAnsi="Arial" w:cs="Arial"/>
        </w:rPr>
      </w:pPr>
    </w:p>
    <w:p w14:paraId="0000001C" w14:textId="77777777" w:rsidR="00796C4E" w:rsidRDefault="00910B8B">
      <w:pPr>
        <w:spacing w:after="0" w:line="240" w:lineRule="auto"/>
      </w:pPr>
      <w:r>
        <w:rPr>
          <w:rFonts w:ascii="Times New Roman" w:eastAsia="Times New Roman" w:hAnsi="Times New Roman" w:cs="Times New Roman"/>
          <w:b/>
          <w:sz w:val="24"/>
          <w:szCs w:val="24"/>
        </w:rPr>
        <w:t>The Contractor and the LCP agree that:</w:t>
      </w:r>
    </w:p>
    <w:p w14:paraId="0000001D" w14:textId="77777777" w:rsidR="00796C4E" w:rsidRDefault="00796C4E">
      <w:pPr>
        <w:spacing w:after="0" w:line="240" w:lineRule="auto"/>
        <w:ind w:left="1440" w:hanging="720"/>
      </w:pPr>
    </w:p>
    <w:p w14:paraId="0000001E" w14:textId="77777777" w:rsidR="00796C4E" w:rsidRDefault="00910B8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services that are regulated by the Maryland Health Services Cost Review Commission (MHSCRC): Bill the LHD for one or more of the services listed in Part I of the Service Contract, at the rate approved for the Contractor by the MHSCRC. The hospital will charge the program the full MHSCRC regulated rate for the colonoscopy procedure. The LCP will reimburse for facility fees for colonoscopy at the region’s Medicare reimbursement rate. Any remaining balance between the HSCRC regulated rates and the local cancer program payment shall </w:t>
      </w:r>
      <w:proofErr w:type="gramStart"/>
      <w:r>
        <w:rPr>
          <w:rFonts w:ascii="Times New Roman" w:eastAsia="Times New Roman" w:hAnsi="Times New Roman" w:cs="Times New Roman"/>
          <w:sz w:val="24"/>
          <w:szCs w:val="24"/>
        </w:rPr>
        <w:t>be treated</w:t>
      </w:r>
      <w:proofErr w:type="gramEnd"/>
      <w:r>
        <w:rPr>
          <w:rFonts w:ascii="Times New Roman" w:eastAsia="Times New Roman" w:hAnsi="Times New Roman" w:cs="Times New Roman"/>
          <w:sz w:val="24"/>
          <w:szCs w:val="24"/>
        </w:rPr>
        <w:t xml:space="preserve"> pursuant to the hospital’s charity care policy, or be considered a “contractual allowance,” in accordance with HSCRC regulations and policy.</w:t>
      </w:r>
    </w:p>
    <w:p w14:paraId="0000001F" w14:textId="77777777" w:rsidR="00796C4E" w:rsidRDefault="00796C4E">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20" w14:textId="1F4843BB" w:rsidR="00796C4E" w:rsidRDefault="00910B8B">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following attached document is incorporated into and hereby made a part of this contract: </w:t>
      </w:r>
    </w:p>
    <w:p w14:paraId="00000021" w14:textId="77777777" w:rsidR="00796C4E" w:rsidRDefault="00910B8B">
      <w:pPr>
        <w:numPr>
          <w:ilvl w:val="0"/>
          <w:numId w:val="2"/>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reimbursement schedule(s) or any schedule that </w:t>
      </w:r>
      <w:proofErr w:type="gramStart"/>
      <w:r>
        <w:rPr>
          <w:rFonts w:ascii="Times New Roman" w:eastAsia="Times New Roman" w:hAnsi="Times New Roman" w:cs="Times New Roman"/>
          <w:sz w:val="24"/>
          <w:szCs w:val="24"/>
        </w:rPr>
        <w:t>may be substituted</w:t>
      </w:r>
      <w:proofErr w:type="gramEnd"/>
      <w:r>
        <w:rPr>
          <w:rFonts w:ascii="Times New Roman" w:eastAsia="Times New Roman" w:hAnsi="Times New Roman" w:cs="Times New Roman"/>
          <w:sz w:val="24"/>
          <w:szCs w:val="24"/>
        </w:rPr>
        <w:t xml:space="preserve"> by the LCP due to changes in Medicaid and Medicare allowable reimbursement rates.</w:t>
      </w:r>
    </w:p>
    <w:p w14:paraId="00000022" w14:textId="77777777" w:rsidR="00796C4E" w:rsidRDefault="00796C4E">
      <w:pPr>
        <w:spacing w:after="0" w:line="240" w:lineRule="auto"/>
        <w:ind w:left="1440"/>
      </w:pPr>
    </w:p>
    <w:p w14:paraId="00000023" w14:textId="77777777" w:rsidR="00796C4E" w:rsidRDefault="00910B8B">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As relevant:</w:t>
      </w:r>
    </w:p>
    <w:p w14:paraId="00000024" w14:textId="77777777" w:rsidR="00796C4E" w:rsidRDefault="00910B8B">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 for Breast Cancer Detection and Diagnosis;”</w:t>
      </w:r>
    </w:p>
    <w:p w14:paraId="00000025" w14:textId="77777777" w:rsidR="00796C4E" w:rsidRDefault="00796C4E">
      <w:pPr>
        <w:spacing w:after="0" w:line="240" w:lineRule="auto"/>
        <w:ind w:left="2160" w:hanging="720"/>
      </w:pPr>
    </w:p>
    <w:p w14:paraId="00000026" w14:textId="77777777" w:rsidR="00796C4E" w:rsidRDefault="00910B8B">
      <w:pPr>
        <w:spacing w:after="0" w:line="240" w:lineRule="auto"/>
        <w:ind w:left="2160" w:hanging="720"/>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“Minimal Clinical Elements for Cervical Cancer Detection and Diagnosis;”</w:t>
      </w:r>
    </w:p>
    <w:p w14:paraId="00000027" w14:textId="77777777" w:rsidR="00796C4E" w:rsidRDefault="00796C4E">
      <w:pPr>
        <w:spacing w:after="0" w:line="240" w:lineRule="auto"/>
        <w:ind w:left="2160" w:hanging="720"/>
      </w:pPr>
    </w:p>
    <w:p w14:paraId="00000028" w14:textId="77777777" w:rsidR="00796C4E" w:rsidRDefault="00910B8B">
      <w:pPr>
        <w:spacing w:after="0" w:line="240" w:lineRule="auto"/>
        <w:ind w:left="2160" w:hanging="720"/>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The “Colorectal Cancer Minimal Elements for Colorectal Cancer Detection and Diagnosis;”</w:t>
      </w:r>
    </w:p>
    <w:p w14:paraId="00000029" w14:textId="77777777" w:rsidR="00796C4E" w:rsidRDefault="00796C4E">
      <w:pPr>
        <w:spacing w:after="0" w:line="240" w:lineRule="auto"/>
        <w:ind w:left="2160" w:hanging="720"/>
      </w:pPr>
    </w:p>
    <w:p w14:paraId="0000002A" w14:textId="77777777" w:rsidR="00796C4E" w:rsidRDefault="00910B8B">
      <w:pPr>
        <w:numPr>
          <w:ilvl w:val="0"/>
          <w:numId w:val="1"/>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 for Lung Cancer Detection and Diagnosis;”</w:t>
      </w:r>
    </w:p>
    <w:p w14:paraId="0000002B" w14:textId="77777777" w:rsidR="00796C4E" w:rsidRDefault="00796C4E">
      <w:pPr>
        <w:spacing w:after="0"/>
        <w:ind w:left="2160"/>
        <w:rPr>
          <w:rFonts w:ascii="Times New Roman" w:eastAsia="Times New Roman" w:hAnsi="Times New Roman" w:cs="Times New Roman"/>
          <w:sz w:val="24"/>
          <w:szCs w:val="24"/>
        </w:rPr>
      </w:pPr>
    </w:p>
    <w:p w14:paraId="0000002C" w14:textId="77777777" w:rsidR="00796C4E" w:rsidRDefault="00910B8B">
      <w:pPr>
        <w:numPr>
          <w:ilvl w:val="0"/>
          <w:numId w:val="1"/>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“Oral Cancer Minimal Elements for Screening, Diagnosis, and Evaluation of Oral Lesions;”</w:t>
      </w:r>
    </w:p>
    <w:p w14:paraId="0000002D" w14:textId="77777777" w:rsidR="00796C4E" w:rsidRDefault="00796C4E">
      <w:pPr>
        <w:spacing w:after="0"/>
        <w:ind w:left="2160"/>
        <w:rPr>
          <w:rFonts w:ascii="Times New Roman" w:eastAsia="Times New Roman" w:hAnsi="Times New Roman" w:cs="Times New Roman"/>
          <w:sz w:val="24"/>
          <w:szCs w:val="24"/>
        </w:rPr>
      </w:pPr>
    </w:p>
    <w:p w14:paraId="0000002E" w14:textId="77777777" w:rsidR="00796C4E" w:rsidRDefault="00910B8B">
      <w:pPr>
        <w:numPr>
          <w:ilvl w:val="0"/>
          <w:numId w:val="1"/>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“Prostate Cancer Minimal Elements for Information, Screening, Diagnosis, Treatment, and Follow up;”</w:t>
      </w:r>
    </w:p>
    <w:p w14:paraId="0000002F" w14:textId="77777777" w:rsidR="00796C4E" w:rsidRDefault="00796C4E">
      <w:pPr>
        <w:spacing w:after="0"/>
        <w:ind w:left="2160"/>
        <w:rPr>
          <w:rFonts w:ascii="Times New Roman" w:eastAsia="Times New Roman" w:hAnsi="Times New Roman" w:cs="Times New Roman"/>
          <w:sz w:val="24"/>
          <w:szCs w:val="24"/>
        </w:rPr>
      </w:pPr>
    </w:p>
    <w:p w14:paraId="00000030" w14:textId="183108A3" w:rsidR="00796C4E" w:rsidRDefault="00910B8B">
      <w:pPr>
        <w:numPr>
          <w:ilvl w:val="0"/>
          <w:numId w:val="1"/>
        </w:numPr>
        <w:spacing w:after="0"/>
        <w:ind w:hanging="720"/>
        <w:rPr>
          <w:rFonts w:ascii="Times New Roman" w:eastAsia="Times New Roman" w:hAnsi="Times New Roman" w:cs="Times New Roman"/>
          <w:sz w:val="24"/>
          <w:szCs w:val="24"/>
        </w:rPr>
      </w:pPr>
      <w:r w:rsidRPr="00570019">
        <w:rPr>
          <w:rFonts w:ascii="Times New Roman" w:eastAsia="Times New Roman" w:hAnsi="Times New Roman" w:cs="Times New Roman"/>
          <w:sz w:val="24"/>
          <w:szCs w:val="24"/>
        </w:rPr>
        <w:t xml:space="preserve">Minimal Clinical Elements for </w:t>
      </w:r>
      <w:r w:rsidR="00570019" w:rsidRPr="00570019">
        <w:rPr>
          <w:rFonts w:ascii="Times New Roman" w:eastAsia="Times New Roman" w:hAnsi="Times New Roman" w:cs="Times New Roman"/>
          <w:sz w:val="24"/>
          <w:szCs w:val="24"/>
        </w:rPr>
        <w:t>Colorectal</w:t>
      </w:r>
      <w:r w:rsidRPr="00570019">
        <w:rPr>
          <w:rFonts w:ascii="Times New Roman" w:eastAsia="Times New Roman" w:hAnsi="Times New Roman" w:cs="Times New Roman"/>
          <w:sz w:val="24"/>
          <w:szCs w:val="24"/>
        </w:rPr>
        <w:t xml:space="preserve"> Cancer Detection and Diagnosis.</w:t>
      </w:r>
    </w:p>
    <w:p w14:paraId="00000031" w14:textId="77777777" w:rsidR="00796C4E" w:rsidRDefault="00796C4E">
      <w:pPr>
        <w:spacing w:after="0"/>
        <w:ind w:left="2160"/>
        <w:rPr>
          <w:rFonts w:ascii="Arial" w:eastAsia="Arial" w:hAnsi="Arial" w:cs="Arial"/>
          <w:color w:val="000000"/>
        </w:rPr>
      </w:pPr>
    </w:p>
    <w:p w14:paraId="00000032" w14:textId="77777777" w:rsidR="00796C4E" w:rsidRDefault="00796C4E">
      <w:pPr>
        <w:spacing w:after="0" w:line="240" w:lineRule="auto"/>
        <w:ind w:left="2160" w:hanging="720"/>
      </w:pPr>
      <w:bookmarkStart w:id="1" w:name="_GoBack"/>
      <w:bookmarkEnd w:id="1"/>
    </w:p>
    <w:p w14:paraId="00000033" w14:textId="77777777" w:rsidR="00796C4E" w:rsidRDefault="00796C4E">
      <w:pPr>
        <w:spacing w:after="0"/>
        <w:ind w:left="1440"/>
        <w:rPr>
          <w:rFonts w:ascii="Times New Roman" w:eastAsia="Times New Roman" w:hAnsi="Times New Roman" w:cs="Times New Roman"/>
          <w:sz w:val="24"/>
          <w:szCs w:val="24"/>
        </w:rPr>
      </w:pPr>
    </w:p>
    <w:p w14:paraId="00000034" w14:textId="77777777" w:rsidR="00796C4E" w:rsidRDefault="00796C4E">
      <w:pPr>
        <w:spacing w:after="0" w:line="240" w:lineRule="auto"/>
        <w:ind w:left="2160"/>
        <w:rPr>
          <w:rFonts w:ascii="Times New Roman" w:eastAsia="Times New Roman" w:hAnsi="Times New Roman" w:cs="Times New Roman"/>
          <w:color w:val="FF0000"/>
          <w:sz w:val="24"/>
          <w:szCs w:val="24"/>
        </w:rPr>
      </w:pPr>
    </w:p>
    <w:sectPr w:rsidR="00796C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DE80" w14:textId="77777777" w:rsidR="0059637F" w:rsidRDefault="00910B8B">
      <w:pPr>
        <w:spacing w:after="0" w:line="240" w:lineRule="auto"/>
      </w:pPr>
      <w:r>
        <w:separator/>
      </w:r>
    </w:p>
  </w:endnote>
  <w:endnote w:type="continuationSeparator" w:id="0">
    <w:p w14:paraId="3B453863" w14:textId="77777777" w:rsidR="0059637F" w:rsidRDefault="0091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796C4E" w:rsidRDefault="00796C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796C4E" w:rsidRDefault="00910B8B">
    <w:pPr>
      <w:spacing w:after="0" w:line="240" w:lineRule="auto"/>
      <w:jc w:val="right"/>
    </w:pPr>
    <w:r>
      <w:rPr>
        <w:rFonts w:ascii="Times New Roman" w:eastAsia="Times New Roman" w:hAnsi="Times New Roman" w:cs="Times New Roman"/>
        <w:sz w:val="20"/>
        <w:szCs w:val="20"/>
      </w:rPr>
      <w:t>Hospital Attachment 2023</w:t>
    </w:r>
  </w:p>
  <w:p w14:paraId="0000003B" w14:textId="327C4B0B" w:rsidR="00796C4E" w:rsidRDefault="00910B8B">
    <w:pPr>
      <w:tabs>
        <w:tab w:val="center" w:pos="4320"/>
        <w:tab w:val="right" w:pos="8640"/>
      </w:tabs>
      <w:spacing w:after="0" w:line="240" w:lineRule="auto"/>
      <w:jc w:val="right"/>
    </w:pPr>
    <w:r>
      <w:rPr>
        <w:rFonts w:ascii="Times New Roman" w:eastAsia="Times New Roman" w:hAnsi="Times New Roman" w:cs="Times New Roman"/>
        <w:sz w:val="20"/>
        <w:szCs w:val="20"/>
      </w:rPr>
      <w:t xml:space="preserve">Page </w:t>
    </w:r>
    <w:r>
      <w:fldChar w:fldCharType="begin"/>
    </w:r>
    <w:r>
      <w:instrText>PAGE</w:instrText>
    </w:r>
    <w:r>
      <w:fldChar w:fldCharType="separate"/>
    </w:r>
    <w:r w:rsidR="00570019">
      <w:rPr>
        <w:noProof/>
      </w:rPr>
      <w:t>2</w:t>
    </w:r>
    <w:r>
      <w:fldChar w:fldCharType="end"/>
    </w:r>
    <w:r>
      <w:rPr>
        <w:rFonts w:ascii="Times New Roman" w:eastAsia="Times New Roman" w:hAnsi="Times New Roman" w:cs="Times New Roman"/>
        <w:sz w:val="20"/>
        <w:szCs w:val="20"/>
      </w:rPr>
      <w:t xml:space="preserve"> of </w:t>
    </w:r>
    <w:r>
      <w:fldChar w:fldCharType="begin"/>
    </w:r>
    <w:r>
      <w:instrText>NUMPAGES</w:instrText>
    </w:r>
    <w:r>
      <w:fldChar w:fldCharType="separate"/>
    </w:r>
    <w:r w:rsidR="0057001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796C4E" w:rsidRDefault="00796C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8BB3" w14:textId="77777777" w:rsidR="0059637F" w:rsidRDefault="00910B8B">
      <w:pPr>
        <w:spacing w:after="0" w:line="240" w:lineRule="auto"/>
      </w:pPr>
      <w:r>
        <w:separator/>
      </w:r>
    </w:p>
  </w:footnote>
  <w:footnote w:type="continuationSeparator" w:id="0">
    <w:p w14:paraId="5F94D7D2" w14:textId="77777777" w:rsidR="0059637F" w:rsidRDefault="00910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796C4E" w:rsidRDefault="00796C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796C4E" w:rsidRDefault="00796C4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796C4E" w:rsidRDefault="00796C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1F86"/>
    <w:multiLevelType w:val="multilevel"/>
    <w:tmpl w:val="2D50A58A"/>
    <w:lvl w:ilvl="0">
      <w:start w:val="5"/>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 w15:restartNumberingAfterBreak="0">
    <w:nsid w:val="57A46DB3"/>
    <w:multiLevelType w:val="multilevel"/>
    <w:tmpl w:val="8CF65C5E"/>
    <w:lvl w:ilvl="0">
      <w:start w:val="1"/>
      <w:numFmt w:val="decimal"/>
      <w:lvlText w:val="%1."/>
      <w:lvlJc w:val="left"/>
      <w:pPr>
        <w:ind w:left="216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5976554E"/>
    <w:multiLevelType w:val="multilevel"/>
    <w:tmpl w:val="A5EE1256"/>
    <w:lvl w:ilvl="0">
      <w:start w:val="1"/>
      <w:numFmt w:val="upperLetter"/>
      <w:lvlText w:val="%1."/>
      <w:lvlJc w:val="left"/>
      <w:pPr>
        <w:ind w:left="1440" w:hanging="720"/>
      </w:pPr>
      <w:rPr>
        <w:color w:val="000000"/>
        <w:u w:val="none"/>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73891F47"/>
    <w:multiLevelType w:val="multilevel"/>
    <w:tmpl w:val="589CE1C8"/>
    <w:lvl w:ilvl="0">
      <w:start w:val="2"/>
      <w:numFmt w:val="decimal"/>
      <w:lvlText w:val="%1."/>
      <w:lvlJc w:val="left"/>
      <w:pPr>
        <w:ind w:left="2160" w:hanging="7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74B76617"/>
    <w:multiLevelType w:val="multilevel"/>
    <w:tmpl w:val="94AC0BD0"/>
    <w:lvl w:ilvl="0">
      <w:start w:val="1"/>
      <w:numFmt w:val="upperLetter"/>
      <w:lvlText w:val="%1."/>
      <w:lvlJc w:val="left"/>
      <w:pPr>
        <w:ind w:left="1080" w:firstLine="720"/>
      </w:pPr>
      <w:rPr>
        <w:color w:val="000000"/>
        <w:u w:val="none"/>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4E"/>
    <w:rsid w:val="00570019"/>
    <w:rsid w:val="0059637F"/>
    <w:rsid w:val="00796C4E"/>
    <w:rsid w:val="0091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3A7"/>
  <w15:docId w15:val="{506AFB25-F41F-4837-990E-69D98532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after="0" w:line="240" w:lineRule="auto"/>
      <w:ind w:firstLine="1080"/>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7C"/>
  </w:style>
  <w:style w:type="paragraph" w:styleId="Footer">
    <w:name w:val="footer"/>
    <w:basedOn w:val="Normal"/>
    <w:link w:val="FooterChar"/>
    <w:uiPriority w:val="99"/>
    <w:unhideWhenUsed/>
    <w:rsid w:val="0096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7C"/>
  </w:style>
  <w:style w:type="paragraph" w:styleId="ListParagraph">
    <w:name w:val="List Paragraph"/>
    <w:basedOn w:val="Normal"/>
    <w:uiPriority w:val="34"/>
    <w:qFormat/>
    <w:rsid w:val="00A16710"/>
    <w:pPr>
      <w:ind w:left="720"/>
      <w:contextualSpacing/>
    </w:pPr>
  </w:style>
  <w:style w:type="character" w:styleId="CommentReference">
    <w:name w:val="annotation reference"/>
    <w:basedOn w:val="DefaultParagraphFont"/>
    <w:uiPriority w:val="99"/>
    <w:semiHidden/>
    <w:unhideWhenUsed/>
    <w:rsid w:val="00557C53"/>
    <w:rPr>
      <w:sz w:val="16"/>
      <w:szCs w:val="16"/>
    </w:rPr>
  </w:style>
  <w:style w:type="paragraph" w:styleId="CommentText">
    <w:name w:val="annotation text"/>
    <w:basedOn w:val="Normal"/>
    <w:link w:val="CommentTextChar"/>
    <w:uiPriority w:val="99"/>
    <w:unhideWhenUsed/>
    <w:rsid w:val="00557C53"/>
    <w:pPr>
      <w:spacing w:line="240" w:lineRule="auto"/>
    </w:pPr>
    <w:rPr>
      <w:sz w:val="20"/>
      <w:szCs w:val="20"/>
    </w:rPr>
  </w:style>
  <w:style w:type="character" w:customStyle="1" w:styleId="CommentTextChar">
    <w:name w:val="Comment Text Char"/>
    <w:basedOn w:val="DefaultParagraphFont"/>
    <w:link w:val="CommentText"/>
    <w:uiPriority w:val="99"/>
    <w:rsid w:val="00557C53"/>
    <w:rPr>
      <w:sz w:val="20"/>
      <w:szCs w:val="20"/>
    </w:rPr>
  </w:style>
  <w:style w:type="paragraph" w:styleId="CommentSubject">
    <w:name w:val="annotation subject"/>
    <w:basedOn w:val="CommentText"/>
    <w:next w:val="CommentText"/>
    <w:link w:val="CommentSubjectChar"/>
    <w:uiPriority w:val="99"/>
    <w:semiHidden/>
    <w:unhideWhenUsed/>
    <w:rsid w:val="00557C53"/>
    <w:rPr>
      <w:b/>
      <w:bCs/>
    </w:rPr>
  </w:style>
  <w:style w:type="character" w:customStyle="1" w:styleId="CommentSubjectChar">
    <w:name w:val="Comment Subject Char"/>
    <w:basedOn w:val="CommentTextChar"/>
    <w:link w:val="CommentSubject"/>
    <w:uiPriority w:val="99"/>
    <w:semiHidden/>
    <w:rsid w:val="00557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KBYJlynNHNLVjoaOSM74mqueEw==">AMUW2mXXxyiEzWcCVkdVzTE6PSc5/nwl8F4+cuFM7D9Zt3dAUog/myVeXUHE/YIlGdL5ule/x0M9JuH6d3A9KdlpStuMQg9EmN9G38tJCdiqo26as+zTYrKNexA4+4CdOzIVYas0ud2xDje588U3cTkovg6LQyb1xea2nPmSPLAyo9pprPNODhJMjKOyzNklSEkrJOudguYQ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Domingo</dc:creator>
  <cp:lastModifiedBy>Hillery Tsumba</cp:lastModifiedBy>
  <cp:revision>3</cp:revision>
  <dcterms:created xsi:type="dcterms:W3CDTF">2016-12-09T12:51:00Z</dcterms:created>
  <dcterms:modified xsi:type="dcterms:W3CDTF">2023-05-17T20:47:00Z</dcterms:modified>
</cp:coreProperties>
</file>