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24749671" w:rsidR="00A518B9" w:rsidRDefault="006A217B">
      <w:pPr>
        <w:pStyle w:val="Title"/>
      </w:pPr>
      <w:r>
        <w:rPr>
          <w:smallCaps/>
          <w:sz w:val="36"/>
          <w:szCs w:val="36"/>
        </w:rPr>
        <w:t>Cancer Crusade Attachment for Provider</w:t>
      </w:r>
    </w:p>
    <w:p w14:paraId="00000002" w14:textId="77777777" w:rsidR="00A518B9" w:rsidRDefault="00A518B9">
      <w:pPr>
        <w:pStyle w:val="Title"/>
      </w:pPr>
    </w:p>
    <w:p w14:paraId="00000003" w14:textId="77777777" w:rsidR="00A518B9" w:rsidRDefault="006A217B">
      <w:pPr>
        <w:pStyle w:val="Title"/>
      </w:pPr>
      <w:r>
        <w:rPr>
          <w:smallCaps/>
        </w:rPr>
        <w:t>SERVICES AND PROCEDURES TO BE PROVIDED</w:t>
      </w:r>
    </w:p>
    <w:p w14:paraId="00000005" w14:textId="77777777" w:rsidR="00A518B9" w:rsidRDefault="00A518B9"/>
    <w:p w14:paraId="00000006" w14:textId="77777777" w:rsidR="00A518B9" w:rsidRDefault="006A217B">
      <w:r>
        <w:rPr>
          <w:rFonts w:ascii="Times New Roman" w:eastAsia="Times New Roman" w:hAnsi="Times New Roman" w:cs="Times New Roman"/>
          <w:b/>
          <w:sz w:val="24"/>
          <w:szCs w:val="24"/>
        </w:rPr>
        <w:t xml:space="preserve">The Contractor agrees to: </w:t>
      </w:r>
    </w:p>
    <w:sdt>
      <w:sdtPr>
        <w:tag w:val="goog_rdk_5"/>
        <w:id w:val="-1295286842"/>
      </w:sdtPr>
      <w:sdtEndPr/>
      <w:sdtContent>
        <w:p w14:paraId="00000007" w14:textId="4C789D2A" w:rsidR="00A518B9" w:rsidRDefault="00A227F6">
          <w:pPr>
            <w:numPr>
              <w:ilvl w:val="0"/>
              <w:numId w:val="5"/>
            </w:numPr>
            <w:spacing w:after="0"/>
            <w:ind w:left="1440" w:hanging="720"/>
            <w:rPr>
              <w:rFonts w:ascii="Times New Roman" w:eastAsia="Times New Roman" w:hAnsi="Times New Roman" w:cs="Times New Roman"/>
              <w:sz w:val="24"/>
              <w:szCs w:val="24"/>
            </w:rPr>
          </w:pPr>
          <w:r w:rsidRPr="009D3FDF">
            <w:rPr>
              <w:rFonts w:ascii="Times New Roman" w:eastAsia="Times New Roman" w:hAnsi="Times New Roman" w:cs="Times New Roman"/>
              <w:color w:val="000000"/>
              <w:sz w:val="24"/>
              <w:szCs w:val="24"/>
            </w:rPr>
            <w:t>Comply with M</w:t>
          </w:r>
          <w:r w:rsidRPr="009D3FDF">
            <w:rPr>
              <w:rFonts w:ascii="Times New Roman" w:hAnsi="Times New Roman" w:cs="Times New Roman"/>
              <w:color w:val="000000"/>
              <w:sz w:val="24"/>
              <w:szCs w:val="24"/>
            </w:rPr>
            <w:t xml:space="preserve">aryland </w:t>
          </w:r>
          <w:r w:rsidRPr="009D3FDF">
            <w:rPr>
              <w:rFonts w:ascii="Times New Roman" w:eastAsia="Times New Roman" w:hAnsi="Times New Roman" w:cs="Times New Roman"/>
              <w:color w:val="000000"/>
              <w:sz w:val="24"/>
              <w:szCs w:val="24"/>
            </w:rPr>
            <w:t>D</w:t>
          </w:r>
          <w:r w:rsidRPr="009D3FDF">
            <w:rPr>
              <w:rFonts w:ascii="Times New Roman" w:hAnsi="Times New Roman" w:cs="Times New Roman"/>
              <w:color w:val="000000"/>
              <w:sz w:val="24"/>
              <w:szCs w:val="24"/>
            </w:rPr>
            <w:t xml:space="preserve">epartment of </w:t>
          </w:r>
          <w:r w:rsidRPr="009D3FDF">
            <w:rPr>
              <w:rFonts w:ascii="Times New Roman" w:eastAsia="Times New Roman" w:hAnsi="Times New Roman" w:cs="Times New Roman"/>
              <w:color w:val="000000"/>
              <w:sz w:val="24"/>
              <w:szCs w:val="24"/>
            </w:rPr>
            <w:t>H</w:t>
          </w:r>
          <w:r w:rsidRPr="009D3FDF">
            <w:rPr>
              <w:rFonts w:ascii="Times New Roman" w:hAnsi="Times New Roman" w:cs="Times New Roman"/>
              <w:color w:val="000000"/>
              <w:sz w:val="24"/>
              <w:szCs w:val="24"/>
            </w:rPr>
            <w:t>ealth</w:t>
          </w:r>
          <w:r w:rsidRPr="009D3FDF">
            <w:rPr>
              <w:rFonts w:ascii="Times New Roman" w:eastAsia="Times New Roman" w:hAnsi="Times New Roman" w:cs="Times New Roman"/>
              <w:color w:val="000000"/>
              <w:sz w:val="24"/>
              <w:szCs w:val="24"/>
            </w:rPr>
            <w:t xml:space="preserve"> Data Use Policy 01.06.01 and Maryland Department of Health Strategic Data Initiative policies and procedures for any data that is considered Maryland Department of Health data.</w:t>
          </w:r>
          <w:r w:rsidRPr="0090684D">
            <w:rPr>
              <w:rFonts w:ascii="Times New Roman" w:hAnsi="Times New Roman" w:cs="Times New Roman"/>
              <w:sz w:val="24"/>
              <w:szCs w:val="24"/>
            </w:rPr>
            <w:t xml:space="preserve"> </w:t>
          </w:r>
          <w:sdt>
            <w:sdtPr>
              <w:tag w:val="goog_rdk_3"/>
              <w:id w:val="-1290353136"/>
            </w:sdtPr>
            <w:sdtEndPr/>
            <w:sdtContent>
              <w:sdt>
                <w:sdtPr>
                  <w:tag w:val="goog_rdk_4"/>
                  <w:id w:val="1611085524"/>
                  <w:showingPlcHdr/>
                </w:sdtPr>
                <w:sdtEndPr/>
                <w:sdtContent>
                  <w:r w:rsidR="009D3FDF">
                    <w:t xml:space="preserve">     </w:t>
                  </w:r>
                </w:sdtContent>
              </w:sdt>
            </w:sdtContent>
          </w:sdt>
        </w:p>
      </w:sdtContent>
    </w:sdt>
    <w:bookmarkStart w:id="0" w:name="_heading=h.n1li58h24eqj" w:colFirst="0" w:colLast="0" w:displacedByCustomXml="next"/>
    <w:bookmarkEnd w:id="0" w:displacedByCustomXml="next"/>
    <w:sdt>
      <w:sdtPr>
        <w:tag w:val="goog_rdk_7"/>
        <w:id w:val="396483116"/>
      </w:sdtPr>
      <w:sdtEndPr/>
      <w:sdtContent>
        <w:p w14:paraId="00000008" w14:textId="0B74AE70" w:rsidR="00A518B9" w:rsidRDefault="006A217B">
          <w:pPr>
            <w:spacing w:after="0"/>
            <w:ind w:left="720"/>
          </w:pPr>
          <w:sdt>
            <w:sdtPr>
              <w:tag w:val="goog_rdk_6"/>
              <w:id w:val="1862781882"/>
              <w:showingPlcHdr/>
            </w:sdtPr>
            <w:sdtEndPr/>
            <w:sdtContent>
              <w:r w:rsidR="00A227F6">
                <w:t xml:space="preserve">     </w:t>
              </w:r>
            </w:sdtContent>
          </w:sdt>
        </w:p>
      </w:sdtContent>
    </w:sdt>
    <w:bookmarkStart w:id="1" w:name="_heading=h.gjdgxs" w:colFirst="0" w:colLast="0" w:displacedByCustomXml="next"/>
    <w:bookmarkEnd w:id="1" w:displacedByCustomXml="next"/>
    <w:sdt>
      <w:sdtPr>
        <w:tag w:val="goog_rdk_8"/>
        <w:id w:val="1040243644"/>
      </w:sdtPr>
      <w:sdtEndPr/>
      <w:sdtContent>
        <w:p w14:paraId="00000009" w14:textId="77777777" w:rsidR="00A518B9" w:rsidRDefault="006A217B">
          <w:pPr>
            <w:numPr>
              <w:ilvl w:val="0"/>
              <w:numId w:val="5"/>
            </w:numPr>
            <w:spacing w:after="0"/>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Follow the most recent version of the Minimal Clinical E</w:t>
          </w:r>
          <w:r>
            <w:rPr>
              <w:rFonts w:ascii="Times New Roman" w:eastAsia="Times New Roman" w:hAnsi="Times New Roman" w:cs="Times New Roman"/>
              <w:sz w:val="24"/>
              <w:szCs w:val="24"/>
            </w:rPr>
            <w:t>lements (Attached) developed by the Maryland Department of Health (MDH) Cancer Medical Advisory Committees as the standard for care for Maryland residents screened and diagnosed through the LCP.</w:t>
          </w:r>
        </w:p>
      </w:sdtContent>
    </w:sdt>
    <w:p w14:paraId="0000000A" w14:textId="77777777" w:rsidR="00A518B9" w:rsidRDefault="00A518B9">
      <w:pPr>
        <w:spacing w:after="0"/>
        <w:ind w:left="720"/>
        <w:rPr>
          <w:color w:val="000000"/>
        </w:rPr>
      </w:pPr>
    </w:p>
    <w:p w14:paraId="0000000B" w14:textId="77777777" w:rsidR="00A518B9" w:rsidRDefault="006A217B">
      <w:pPr>
        <w:numPr>
          <w:ilvl w:val="0"/>
          <w:numId w:val="5"/>
        </w:numPr>
        <w:spacing w:after="0"/>
        <w:ind w:left="1440" w:hanging="720"/>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See clients referred by LCP for cancer screening and diagn</w:t>
      </w:r>
      <w:r>
        <w:rPr>
          <w:rFonts w:ascii="Times New Roman" w:eastAsia="Times New Roman" w:hAnsi="Times New Roman" w:cs="Times New Roman"/>
          <w:color w:val="000000"/>
          <w:sz w:val="24"/>
          <w:szCs w:val="24"/>
          <w:highlight w:val="white"/>
        </w:rPr>
        <w:t>ostic services as indicated below:</w:t>
      </w:r>
    </w:p>
    <w:p w14:paraId="0000000C" w14:textId="77777777" w:rsidR="00A518B9" w:rsidRDefault="006A217B">
      <w:pPr>
        <w:numPr>
          <w:ilvl w:val="2"/>
          <w:numId w:val="4"/>
        </w:numPr>
        <w:spacing w:after="0"/>
        <w:ind w:left="21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For cancer services, within a time frame that is not more than eight (8) weeks for screening services, and two (2) weeks for diagnostic services, from the date of referral.</w:t>
      </w:r>
    </w:p>
    <w:p w14:paraId="0000000D" w14:textId="77777777" w:rsidR="00A518B9" w:rsidRDefault="00A518B9">
      <w:pPr>
        <w:spacing w:after="0"/>
        <w:ind w:left="720"/>
      </w:pPr>
    </w:p>
    <w:p w14:paraId="0000000E" w14:textId="77777777" w:rsidR="00A518B9" w:rsidRDefault="006A217B">
      <w:pPr>
        <w:numPr>
          <w:ilvl w:val="0"/>
          <w:numId w:val="5"/>
        </w:numPr>
        <w:spacing w:after="0"/>
        <w:ind w:left="144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For services related to cervical cancer </w:t>
      </w:r>
      <w:r>
        <w:rPr>
          <w:rFonts w:ascii="Times New Roman" w:eastAsia="Times New Roman" w:hAnsi="Times New Roman" w:cs="Times New Roman"/>
          <w:sz w:val="24"/>
          <w:szCs w:val="24"/>
          <w:highlight w:val="white"/>
        </w:rPr>
        <w:t>screening:</w:t>
      </w:r>
    </w:p>
    <w:p w14:paraId="0000000F" w14:textId="77777777" w:rsidR="00A518B9" w:rsidRDefault="006A217B">
      <w:pPr>
        <w:numPr>
          <w:ilvl w:val="2"/>
          <w:numId w:val="5"/>
        </w:numPr>
        <w:ind w:left="1890" w:hanging="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Perform a pelvic exam in order to determine if a client has an intact cervix, upon her first visit. This visit will be reimbursed by the LCP.  </w:t>
      </w:r>
    </w:p>
    <w:p w14:paraId="00000010" w14:textId="77777777" w:rsidR="00A518B9" w:rsidRDefault="006A217B">
      <w:pPr>
        <w:numPr>
          <w:ilvl w:val="2"/>
          <w:numId w:val="5"/>
        </w:numPr>
        <w:ind w:left="1890" w:hanging="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Collect a specimen that can be used for a HPV test, high-risk panel, if a woman has a Pap test result</w:t>
      </w:r>
      <w:r>
        <w:rPr>
          <w:rFonts w:ascii="Times New Roman" w:eastAsia="Times New Roman" w:hAnsi="Times New Roman" w:cs="Times New Roman"/>
          <w:sz w:val="24"/>
          <w:szCs w:val="24"/>
          <w:highlight w:val="white"/>
        </w:rPr>
        <w:t xml:space="preserve"> of atypical squamous cells of undetermined significance (ASCUS).</w:t>
      </w:r>
    </w:p>
    <w:p w14:paraId="00000011" w14:textId="77777777" w:rsidR="00A518B9" w:rsidRDefault="006A217B">
      <w:pPr>
        <w:numPr>
          <w:ilvl w:val="0"/>
          <w:numId w:val="5"/>
        </w:numPr>
        <w:spacing w:after="0"/>
        <w:ind w:left="144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Explain to the client the contracted procedures, frequency of screening tests, and need for additional diagnostic tests and treatment, if indicated. </w:t>
      </w:r>
    </w:p>
    <w:p w14:paraId="00000012" w14:textId="77777777" w:rsidR="00A518B9" w:rsidRDefault="00A518B9">
      <w:pPr>
        <w:spacing w:after="0"/>
      </w:pPr>
    </w:p>
    <w:p w14:paraId="00000013" w14:textId="77777777" w:rsidR="00A518B9" w:rsidRDefault="006A217B">
      <w:pPr>
        <w:numPr>
          <w:ilvl w:val="0"/>
          <w:numId w:val="5"/>
        </w:numPr>
        <w:spacing w:after="0"/>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Utilize a laboratory that is contracted</w:t>
      </w:r>
      <w:r>
        <w:rPr>
          <w:rFonts w:ascii="Times New Roman" w:eastAsia="Times New Roman" w:hAnsi="Times New Roman" w:cs="Times New Roman"/>
          <w:sz w:val="24"/>
          <w:szCs w:val="24"/>
        </w:rPr>
        <w:t xml:space="preserve"> with the LCP and licensed in the state in which they operate. </w:t>
      </w:r>
      <w:proofErr w:type="gramStart"/>
      <w:r>
        <w:rPr>
          <w:rFonts w:ascii="Times New Roman" w:eastAsia="Times New Roman" w:hAnsi="Times New Roman" w:cs="Times New Roman"/>
          <w:sz w:val="24"/>
          <w:szCs w:val="24"/>
        </w:rPr>
        <w:t>For cervical cancer services, such laboratories must be in compliance with the rules for cytology services in the Clinical Laboratory Improvement Amendments of 1988, ensure that each individual</w:t>
      </w:r>
      <w:r>
        <w:rPr>
          <w:rFonts w:ascii="Times New Roman" w:eastAsia="Times New Roman" w:hAnsi="Times New Roman" w:cs="Times New Roman"/>
          <w:sz w:val="24"/>
          <w:szCs w:val="24"/>
        </w:rPr>
        <w:t xml:space="preserve"> engaged in the examination of gynecological preparations has passed the Cytology Proficiency Testing Program of the American Society of Clinical Pathologists (ASCP) or the College of American Pathologists (CAP), and provide annual proof of individual staf</w:t>
      </w:r>
      <w:r>
        <w:rPr>
          <w:rFonts w:ascii="Times New Roman" w:eastAsia="Times New Roman" w:hAnsi="Times New Roman" w:cs="Times New Roman"/>
          <w:sz w:val="24"/>
          <w:szCs w:val="24"/>
        </w:rPr>
        <w:t>f members passing cytology proficiency testing.</w:t>
      </w:r>
      <w:proofErr w:type="gramEnd"/>
      <w:r>
        <w:rPr>
          <w:rFonts w:ascii="Times New Roman" w:eastAsia="Times New Roman" w:hAnsi="Times New Roman" w:cs="Times New Roman"/>
          <w:sz w:val="24"/>
          <w:szCs w:val="24"/>
        </w:rPr>
        <w:t xml:space="preserve">  </w:t>
      </w:r>
    </w:p>
    <w:p w14:paraId="00000014" w14:textId="77777777" w:rsidR="00A518B9" w:rsidRDefault="00A518B9">
      <w:pPr>
        <w:spacing w:after="0"/>
        <w:ind w:left="720"/>
      </w:pPr>
    </w:p>
    <w:p w14:paraId="00000015" w14:textId="7B539E70" w:rsidR="00A518B9" w:rsidRPr="00E95740" w:rsidRDefault="006A217B">
      <w:pPr>
        <w:numPr>
          <w:ilvl w:val="0"/>
          <w:numId w:val="5"/>
        </w:numPr>
        <w:spacing w:after="0"/>
        <w:ind w:left="1440" w:hanging="720"/>
        <w:rPr>
          <w:rFonts w:ascii="Times New Roman" w:eastAsia="Times New Roman" w:hAnsi="Times New Roman" w:cs="Times New Roman"/>
          <w:sz w:val="24"/>
          <w:szCs w:val="24"/>
        </w:rPr>
      </w:pPr>
      <w:r w:rsidRPr="00E95740">
        <w:rPr>
          <w:rFonts w:ascii="Times New Roman" w:eastAsia="Times New Roman" w:hAnsi="Times New Roman" w:cs="Times New Roman"/>
          <w:sz w:val="24"/>
          <w:szCs w:val="24"/>
        </w:rPr>
        <w:t xml:space="preserve">Report </w:t>
      </w:r>
      <w:r w:rsidRPr="00E95740">
        <w:rPr>
          <w:rFonts w:ascii="Times New Roman" w:eastAsia="Times New Roman" w:hAnsi="Times New Roman" w:cs="Times New Roman"/>
          <w:sz w:val="24"/>
          <w:szCs w:val="24"/>
          <w:u w:val="single"/>
        </w:rPr>
        <w:t>abnormal</w:t>
      </w:r>
      <w:r w:rsidRPr="00E95740">
        <w:rPr>
          <w:rFonts w:ascii="Times New Roman" w:eastAsia="Times New Roman" w:hAnsi="Times New Roman" w:cs="Times New Roman"/>
          <w:sz w:val="24"/>
          <w:szCs w:val="24"/>
        </w:rPr>
        <w:t xml:space="preserve"> findings that result from the performance of the contracted service(s) to the </w:t>
      </w:r>
      <w:r>
        <w:rPr>
          <w:rFonts w:ascii="Times New Roman" w:eastAsia="Times New Roman" w:hAnsi="Times New Roman" w:cs="Times New Roman"/>
          <w:sz w:val="24"/>
          <w:szCs w:val="24"/>
        </w:rPr>
        <w:t>LCP</w:t>
      </w:r>
      <w:r w:rsidRPr="00E95740">
        <w:rPr>
          <w:rFonts w:ascii="Times New Roman" w:eastAsia="Times New Roman" w:hAnsi="Times New Roman" w:cs="Times New Roman"/>
          <w:sz w:val="24"/>
          <w:szCs w:val="24"/>
        </w:rPr>
        <w:t xml:space="preserve"> by phone </w:t>
      </w:r>
      <w:r w:rsidRPr="00E95740">
        <w:rPr>
          <w:rFonts w:ascii="Times New Roman" w:eastAsia="Times New Roman" w:hAnsi="Times New Roman" w:cs="Times New Roman"/>
          <w:i/>
          <w:sz w:val="24"/>
          <w:szCs w:val="24"/>
          <w:u w:val="single"/>
        </w:rPr>
        <w:t>and</w:t>
      </w:r>
      <w:r w:rsidRPr="00E95740">
        <w:rPr>
          <w:rFonts w:ascii="Times New Roman" w:eastAsia="Times New Roman" w:hAnsi="Times New Roman" w:cs="Times New Roman"/>
          <w:sz w:val="24"/>
          <w:szCs w:val="24"/>
        </w:rPr>
        <w:t xml:space="preserve"> mail, by fax, or by secure electronic communication</w:t>
      </w:r>
      <w:r w:rsidRPr="00E95740">
        <w:rPr>
          <w:rFonts w:ascii="Times New Roman" w:eastAsia="Times New Roman" w:hAnsi="Times New Roman" w:cs="Times New Roman"/>
          <w:sz w:val="24"/>
          <w:szCs w:val="24"/>
        </w:rPr>
        <w:t xml:space="preserve"> </w:t>
      </w:r>
      <w:r w:rsidRPr="00E95740">
        <w:rPr>
          <w:rFonts w:ascii="Times New Roman" w:eastAsia="Times New Roman" w:hAnsi="Times New Roman" w:cs="Times New Roman"/>
          <w:sz w:val="24"/>
          <w:szCs w:val="24"/>
          <w:u w:val="single"/>
        </w:rPr>
        <w:t xml:space="preserve">within </w:t>
      </w:r>
      <w:sdt>
        <w:sdtPr>
          <w:tag w:val="goog_rdk_10"/>
          <w:id w:val="-1771225757"/>
        </w:sdtPr>
        <w:sdtEndPr/>
        <w:sdtContent>
          <w:r w:rsidRPr="00E95740">
            <w:rPr>
              <w:rFonts w:ascii="Times New Roman" w:eastAsia="Times New Roman" w:hAnsi="Times New Roman" w:cs="Times New Roman"/>
              <w:sz w:val="24"/>
              <w:szCs w:val="24"/>
              <w:u w:val="single"/>
            </w:rPr>
            <w:t xml:space="preserve">seven (7) calendar </w:t>
          </w:r>
        </w:sdtContent>
      </w:sdt>
      <w:r w:rsidRPr="00E95740">
        <w:rPr>
          <w:rFonts w:ascii="Times New Roman" w:eastAsia="Times New Roman" w:hAnsi="Times New Roman" w:cs="Times New Roman"/>
          <w:sz w:val="24"/>
          <w:szCs w:val="24"/>
          <w:u w:val="single"/>
        </w:rPr>
        <w:t>days of the exam</w:t>
      </w:r>
      <w:r w:rsidRPr="00E95740">
        <w:rPr>
          <w:rFonts w:ascii="Times New Roman" w:eastAsia="Times New Roman" w:hAnsi="Times New Roman" w:cs="Times New Roman"/>
          <w:sz w:val="24"/>
          <w:szCs w:val="24"/>
        </w:rPr>
        <w:t>, using a format directed by the LCP.</w:t>
      </w:r>
    </w:p>
    <w:p w14:paraId="00000016" w14:textId="77777777" w:rsidR="00A518B9" w:rsidRDefault="00A518B9">
      <w:pPr>
        <w:spacing w:after="0"/>
        <w:ind w:left="720"/>
        <w:rPr>
          <w:highlight w:val="white"/>
        </w:rPr>
      </w:pPr>
    </w:p>
    <w:p w14:paraId="00000017" w14:textId="6280D2EC" w:rsidR="00A518B9" w:rsidRDefault="006A217B">
      <w:pPr>
        <w:numPr>
          <w:ilvl w:val="0"/>
          <w:numId w:val="5"/>
        </w:numPr>
        <w:spacing w:after="0" w:line="240" w:lineRule="auto"/>
        <w:ind w:left="144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Report </w:t>
      </w:r>
      <w:r>
        <w:rPr>
          <w:rFonts w:ascii="Times New Roman" w:eastAsia="Times New Roman" w:hAnsi="Times New Roman" w:cs="Times New Roman"/>
          <w:sz w:val="24"/>
          <w:szCs w:val="24"/>
          <w:highlight w:val="white"/>
          <w:u w:val="single"/>
        </w:rPr>
        <w:t>normal</w:t>
      </w:r>
      <w:r>
        <w:rPr>
          <w:rFonts w:ascii="Times New Roman" w:eastAsia="Times New Roman" w:hAnsi="Times New Roman" w:cs="Times New Roman"/>
          <w:sz w:val="24"/>
          <w:szCs w:val="24"/>
          <w:highlight w:val="white"/>
        </w:rPr>
        <w:t xml:space="preserve"> findings that result from the performance of the contracted service(s) to the LCP</w:t>
      </w:r>
      <w:r>
        <w:rPr>
          <w:rFonts w:ascii="Times New Roman" w:eastAsia="Times New Roman" w:hAnsi="Times New Roman" w:cs="Times New Roman"/>
          <w:sz w:val="24"/>
          <w:szCs w:val="24"/>
          <w:highlight w:val="white"/>
        </w:rPr>
        <w:t xml:space="preserve"> by mail, by fax, or by secure electronic communication </w:t>
      </w:r>
      <w:r>
        <w:rPr>
          <w:rFonts w:ascii="Times New Roman" w:eastAsia="Times New Roman" w:hAnsi="Times New Roman" w:cs="Times New Roman"/>
          <w:sz w:val="24"/>
          <w:szCs w:val="24"/>
          <w:highlight w:val="white"/>
          <w:u w:val="single"/>
        </w:rPr>
        <w:t xml:space="preserve">within </w:t>
      </w:r>
      <w:r w:rsidR="00E95740">
        <w:rPr>
          <w:rFonts w:ascii="Times New Roman" w:eastAsia="Times New Roman" w:hAnsi="Times New Roman" w:cs="Times New Roman"/>
          <w:sz w:val="24"/>
          <w:szCs w:val="24"/>
          <w:highlight w:val="white"/>
          <w:u w:val="single"/>
        </w:rPr>
        <w:t>twenty-one</w:t>
      </w:r>
      <w:r>
        <w:rPr>
          <w:rFonts w:ascii="Times New Roman" w:eastAsia="Times New Roman" w:hAnsi="Times New Roman" w:cs="Times New Roman"/>
          <w:sz w:val="24"/>
          <w:szCs w:val="24"/>
          <w:highlight w:val="white"/>
          <w:u w:val="single"/>
        </w:rPr>
        <w:t xml:space="preserve"> (21) calendar days of the exam</w:t>
      </w:r>
      <w:r>
        <w:rPr>
          <w:rFonts w:ascii="Times New Roman" w:eastAsia="Times New Roman" w:hAnsi="Times New Roman" w:cs="Times New Roman"/>
          <w:sz w:val="24"/>
          <w:szCs w:val="24"/>
          <w:highlight w:val="white"/>
        </w:rPr>
        <w:t>, using a format directed by the LCP.</w:t>
      </w:r>
    </w:p>
    <w:p w14:paraId="00000018" w14:textId="77777777" w:rsidR="00A518B9" w:rsidRDefault="00A518B9">
      <w:pPr>
        <w:spacing w:after="0" w:line="240" w:lineRule="auto"/>
        <w:ind w:left="720"/>
        <w:rPr>
          <w:highlight w:val="white"/>
        </w:rPr>
      </w:pPr>
    </w:p>
    <w:p w14:paraId="00000019" w14:textId="255BADCE" w:rsidR="00A518B9" w:rsidRDefault="006A217B">
      <w:pPr>
        <w:numPr>
          <w:ilvl w:val="0"/>
          <w:numId w:val="5"/>
        </w:numPr>
        <w:spacing w:after="0" w:line="240" w:lineRule="auto"/>
        <w:ind w:left="144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Report the stage and size </w:t>
      </w:r>
      <w:proofErr w:type="gramStart"/>
      <w:r>
        <w:rPr>
          <w:rFonts w:ascii="Times New Roman" w:eastAsia="Times New Roman" w:hAnsi="Times New Roman" w:cs="Times New Roman"/>
          <w:sz w:val="24"/>
          <w:szCs w:val="24"/>
          <w:highlight w:val="white"/>
        </w:rPr>
        <w:t>of  cancer</w:t>
      </w:r>
      <w:proofErr w:type="gramEnd"/>
      <w:r>
        <w:rPr>
          <w:rFonts w:ascii="Times New Roman" w:eastAsia="Times New Roman" w:hAnsi="Times New Roman" w:cs="Times New Roman"/>
          <w:sz w:val="24"/>
          <w:szCs w:val="24"/>
          <w:highlight w:val="white"/>
        </w:rPr>
        <w:t xml:space="preserve"> tumor(s) to the LCP </w:t>
      </w:r>
      <w:r>
        <w:rPr>
          <w:rFonts w:ascii="Times New Roman" w:eastAsia="Times New Roman" w:hAnsi="Times New Roman" w:cs="Times New Roman"/>
          <w:sz w:val="24"/>
          <w:szCs w:val="24"/>
          <w:highlight w:val="white"/>
        </w:rPr>
        <w:t>by mail, b</w:t>
      </w:r>
      <w:r>
        <w:rPr>
          <w:rFonts w:ascii="Times New Roman" w:eastAsia="Times New Roman" w:hAnsi="Times New Roman" w:cs="Times New Roman"/>
          <w:sz w:val="24"/>
          <w:szCs w:val="24"/>
          <w:highlight w:val="white"/>
        </w:rPr>
        <w:t xml:space="preserve">y fax, or by secure electronic communication within seven (7) calendar days  after determination of stage and size of tumor.  </w:t>
      </w:r>
    </w:p>
    <w:p w14:paraId="0000001A" w14:textId="77777777" w:rsidR="00A518B9" w:rsidRDefault="00A518B9">
      <w:pPr>
        <w:spacing w:after="0" w:line="240" w:lineRule="auto"/>
        <w:ind w:left="1440"/>
      </w:pPr>
    </w:p>
    <w:p w14:paraId="0000001B" w14:textId="77777777" w:rsidR="00A518B9" w:rsidRDefault="00A518B9">
      <w:pPr>
        <w:spacing w:after="0" w:line="240" w:lineRule="auto"/>
        <w:ind w:left="1440"/>
      </w:pPr>
    </w:p>
    <w:p w14:paraId="0000001C" w14:textId="77777777" w:rsidR="00A518B9" w:rsidRDefault="006A217B">
      <w:pPr>
        <w:spacing w:after="0" w:line="240" w:lineRule="auto"/>
        <w:ind w:firstLine="720"/>
      </w:pPr>
      <w:r>
        <w:rPr>
          <w:rFonts w:ascii="Times New Roman" w:eastAsia="Times New Roman" w:hAnsi="Times New Roman" w:cs="Times New Roman"/>
          <w:b/>
          <w:i/>
          <w:sz w:val="24"/>
          <w:szCs w:val="24"/>
        </w:rPr>
        <w:t>Qualifications and Insurance</w:t>
      </w:r>
    </w:p>
    <w:p w14:paraId="0000001D" w14:textId="77777777" w:rsidR="00A518B9" w:rsidRDefault="006A217B">
      <w:pPr>
        <w:numPr>
          <w:ilvl w:val="0"/>
          <w:numId w:val="5"/>
        </w:numPr>
        <w:spacing w:after="0"/>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Have clinical services performed by a licensed physician,  nurse practitioner, or physician assist</w:t>
      </w:r>
      <w:r>
        <w:rPr>
          <w:rFonts w:ascii="Times New Roman" w:eastAsia="Times New Roman" w:hAnsi="Times New Roman" w:cs="Times New Roman"/>
          <w:sz w:val="24"/>
          <w:szCs w:val="24"/>
        </w:rPr>
        <w:t>ant who has received specialized medical training to perform these procedures.</w:t>
      </w:r>
    </w:p>
    <w:p w14:paraId="0000001E" w14:textId="77777777" w:rsidR="00A518B9" w:rsidRDefault="00A518B9">
      <w:pPr>
        <w:spacing w:after="0" w:line="240" w:lineRule="auto"/>
        <w:ind w:left="720"/>
      </w:pPr>
    </w:p>
    <w:p w14:paraId="0000001F" w14:textId="77777777" w:rsidR="00A518B9" w:rsidRDefault="006A217B">
      <w:pPr>
        <w:numPr>
          <w:ilvl w:val="0"/>
          <w:numId w:val="5"/>
        </w:numPr>
        <w:spacing w:after="0"/>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For physicians performing services under this Contract, provide a copy of each individual’s current medical license from the state in which they are practicing and provide a co</w:t>
      </w:r>
      <w:r>
        <w:rPr>
          <w:rFonts w:ascii="Times New Roman" w:eastAsia="Times New Roman" w:hAnsi="Times New Roman" w:cs="Times New Roman"/>
          <w:sz w:val="24"/>
          <w:szCs w:val="24"/>
        </w:rPr>
        <w:t xml:space="preserve">py of his/her specialty board certification, if applicable, to the LCP Contract Monitor with this signed Contract.  </w:t>
      </w:r>
    </w:p>
    <w:p w14:paraId="00000020" w14:textId="77777777" w:rsidR="00A518B9" w:rsidRDefault="00A518B9">
      <w:pPr>
        <w:spacing w:after="0"/>
        <w:ind w:left="720"/>
      </w:pPr>
    </w:p>
    <w:p w14:paraId="00000021" w14:textId="77777777" w:rsidR="00A518B9" w:rsidRDefault="006A217B">
      <w:pPr>
        <w:numPr>
          <w:ilvl w:val="0"/>
          <w:numId w:val="5"/>
        </w:numPr>
        <w:spacing w:after="0"/>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Obtain and maintain current medical liability insurance coverage and assume liability for the procedures and/or services rendered under th</w:t>
      </w:r>
      <w:r>
        <w:rPr>
          <w:rFonts w:ascii="Times New Roman" w:eastAsia="Times New Roman" w:hAnsi="Times New Roman" w:cs="Times New Roman"/>
          <w:sz w:val="24"/>
          <w:szCs w:val="24"/>
        </w:rPr>
        <w:t>is Contract; and provide documentation to the LCP Contract Monitor with this signed Contract.</w:t>
      </w:r>
    </w:p>
    <w:p w14:paraId="00000022" w14:textId="77777777" w:rsidR="00A518B9" w:rsidRDefault="00A518B9">
      <w:pPr>
        <w:spacing w:after="0"/>
        <w:ind w:left="720"/>
      </w:pPr>
    </w:p>
    <w:p w14:paraId="00000023" w14:textId="77777777" w:rsidR="00A518B9" w:rsidRDefault="006A217B">
      <w:pPr>
        <w:numPr>
          <w:ilvl w:val="0"/>
          <w:numId w:val="5"/>
        </w:numPr>
        <w:spacing w:after="0"/>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Adhere to the provisions of COMAR 10.27.07, Practice of the Nurse Practitioner, and, for each nurse practitioner performing services under this Contract, provide</w:t>
      </w:r>
      <w:r>
        <w:rPr>
          <w:rFonts w:ascii="Times New Roman" w:eastAsia="Times New Roman" w:hAnsi="Times New Roman" w:cs="Times New Roman"/>
          <w:sz w:val="24"/>
          <w:szCs w:val="24"/>
        </w:rPr>
        <w:t xml:space="preserve"> a copy of the individual's current Maryland nursing license and a copy of his/her area of certification, to the LCP Contract Monitor with this signed contract.  </w:t>
      </w:r>
    </w:p>
    <w:p w14:paraId="00000024" w14:textId="77777777" w:rsidR="00A518B9" w:rsidRDefault="00A518B9">
      <w:pPr>
        <w:spacing w:after="0"/>
        <w:ind w:left="720"/>
      </w:pPr>
    </w:p>
    <w:p w14:paraId="00000025" w14:textId="77777777" w:rsidR="00A518B9" w:rsidRDefault="006A217B">
      <w:pPr>
        <w:numPr>
          <w:ilvl w:val="0"/>
          <w:numId w:val="5"/>
        </w:numPr>
        <w:spacing w:after="0"/>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Adhere to the provisions of COMAR 10.32.03, Delegation of Duties by a Licensed Physician- Ph</w:t>
      </w:r>
      <w:r>
        <w:rPr>
          <w:rFonts w:ascii="Times New Roman" w:eastAsia="Times New Roman" w:hAnsi="Times New Roman" w:cs="Times New Roman"/>
          <w:sz w:val="24"/>
          <w:szCs w:val="24"/>
        </w:rPr>
        <w:t>ysician Assistant, and, for each physician assistant performing services under this Contract, provide a copy of the individual’s current Maryland certification, to the LCP Contract Monitor along with this signed Contract.</w:t>
      </w:r>
    </w:p>
    <w:p w14:paraId="00000026" w14:textId="77777777" w:rsidR="00A518B9" w:rsidRDefault="00A518B9">
      <w:pPr>
        <w:spacing w:after="0"/>
      </w:pPr>
    </w:p>
    <w:p w14:paraId="00000027" w14:textId="77777777" w:rsidR="00A518B9" w:rsidRDefault="006A217B">
      <w:pPr>
        <w:ind w:left="720"/>
      </w:pPr>
      <w:r>
        <w:rPr>
          <w:rFonts w:ascii="Times New Roman" w:eastAsia="Times New Roman" w:hAnsi="Times New Roman" w:cs="Times New Roman"/>
          <w:b/>
          <w:sz w:val="24"/>
          <w:szCs w:val="24"/>
        </w:rPr>
        <w:t xml:space="preserve">The Contractor and the LCP agree </w:t>
      </w:r>
      <w:r>
        <w:rPr>
          <w:rFonts w:ascii="Times New Roman" w:eastAsia="Times New Roman" w:hAnsi="Times New Roman" w:cs="Times New Roman"/>
          <w:b/>
          <w:sz w:val="24"/>
          <w:szCs w:val="24"/>
        </w:rPr>
        <w:t>that:</w:t>
      </w:r>
    </w:p>
    <w:p w14:paraId="00000028" w14:textId="77777777" w:rsidR="00A518B9" w:rsidRDefault="006A217B">
      <w:pPr>
        <w:numPr>
          <w:ilvl w:val="0"/>
          <w:numId w:val="2"/>
        </w:numPr>
        <w:spacing w:after="0"/>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Reimbursement will </w:t>
      </w:r>
      <w:r>
        <w:rPr>
          <w:rFonts w:ascii="Times New Roman" w:eastAsia="Times New Roman" w:hAnsi="Times New Roman" w:cs="Times New Roman"/>
          <w:sz w:val="24"/>
          <w:szCs w:val="24"/>
          <w:u w:val="single"/>
        </w:rPr>
        <w:t>only</w:t>
      </w:r>
      <w:r>
        <w:rPr>
          <w:rFonts w:ascii="Times New Roman" w:eastAsia="Times New Roman" w:hAnsi="Times New Roman" w:cs="Times New Roman"/>
          <w:sz w:val="24"/>
          <w:szCs w:val="24"/>
        </w:rPr>
        <w:t xml:space="preserve"> occur for cytopathology, cervical or vaginal (the Bethesda System) for Pap tests using one of the following procedures: (1) slides, manual screening, or (2) collected in preservative fluid, automated thin layer preparation, manual screening or screening b</w:t>
      </w:r>
      <w:r>
        <w:rPr>
          <w:rFonts w:ascii="Times New Roman" w:eastAsia="Times New Roman" w:hAnsi="Times New Roman" w:cs="Times New Roman"/>
          <w:sz w:val="24"/>
          <w:szCs w:val="24"/>
        </w:rPr>
        <w:t xml:space="preserve">y automated system under physician supervision as listed on the reimbursement schedule provided by the Cancer Screening Program Unit (CSPU).  No other Pap test methods will be reimbursed through this Contract.  </w:t>
      </w:r>
    </w:p>
    <w:p w14:paraId="00000029" w14:textId="77777777" w:rsidR="00A518B9" w:rsidRDefault="00A518B9">
      <w:pPr>
        <w:spacing w:after="0"/>
        <w:ind w:left="1080"/>
      </w:pPr>
    </w:p>
    <w:p w14:paraId="0000002A" w14:textId="77777777" w:rsidR="00A518B9" w:rsidRDefault="006A217B">
      <w:pPr>
        <w:numPr>
          <w:ilvl w:val="0"/>
          <w:numId w:val="2"/>
        </w:numPr>
        <w:spacing w:after="0"/>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attached documents are </w:t>
      </w:r>
      <w:r>
        <w:rPr>
          <w:rFonts w:ascii="Times New Roman" w:eastAsia="Times New Roman" w:hAnsi="Times New Roman" w:cs="Times New Roman"/>
          <w:sz w:val="24"/>
          <w:szCs w:val="24"/>
        </w:rPr>
        <w:t>incorporated into, and hereby made a part of this Contract:</w:t>
      </w:r>
    </w:p>
    <w:p w14:paraId="0000002B" w14:textId="77777777" w:rsidR="00A518B9" w:rsidRDefault="006A217B">
      <w:pPr>
        <w:numPr>
          <w:ilvl w:val="0"/>
          <w:numId w:val="6"/>
        </w:numPr>
        <w:spacing w:after="0"/>
        <w:ind w:left="216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The reimbursement schedule(s) or any schedule that may be substituted by the LCP due to changes in Medicaid and Medicare allowable reimbursement rates.</w:t>
      </w:r>
    </w:p>
    <w:p w14:paraId="0000002C" w14:textId="77777777" w:rsidR="00A518B9" w:rsidRDefault="00A518B9">
      <w:pPr>
        <w:spacing w:after="0"/>
        <w:ind w:left="1440"/>
      </w:pPr>
    </w:p>
    <w:p w14:paraId="0000002D" w14:textId="77777777" w:rsidR="00A518B9" w:rsidRDefault="006A217B">
      <w:pPr>
        <w:spacing w:after="0"/>
        <w:ind w:left="1440"/>
      </w:pPr>
      <w:r>
        <w:rPr>
          <w:rFonts w:ascii="Times New Roman" w:eastAsia="Times New Roman" w:hAnsi="Times New Roman" w:cs="Times New Roman"/>
          <w:sz w:val="24"/>
          <w:szCs w:val="24"/>
        </w:rPr>
        <w:t>As relevant:</w:t>
      </w:r>
    </w:p>
    <w:sdt>
      <w:sdtPr>
        <w:tag w:val="goog_rdk_12"/>
        <w:id w:val="826250499"/>
      </w:sdtPr>
      <w:sdtEndPr/>
      <w:sdtContent>
        <w:p w14:paraId="0000002E" w14:textId="77777777" w:rsidR="00A518B9" w:rsidRDefault="006A217B" w:rsidP="009D3FDF">
          <w:pPr>
            <w:numPr>
              <w:ilvl w:val="0"/>
              <w:numId w:val="3"/>
            </w:numPr>
            <w:spacing w:after="0"/>
            <w:ind w:left="216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The “Minimal Clinical Elements</w:t>
          </w:r>
          <w:r>
            <w:rPr>
              <w:rFonts w:ascii="Times New Roman" w:eastAsia="Times New Roman" w:hAnsi="Times New Roman" w:cs="Times New Roman"/>
              <w:sz w:val="24"/>
              <w:szCs w:val="24"/>
            </w:rPr>
            <w:t xml:space="preserve"> for Breast Cancer Detection and Diagnosis;”</w:t>
          </w:r>
        </w:p>
      </w:sdtContent>
    </w:sdt>
    <w:p w14:paraId="0000002F" w14:textId="77777777" w:rsidR="00A518B9" w:rsidRDefault="00A518B9">
      <w:pPr>
        <w:spacing w:after="0"/>
        <w:ind w:left="2160"/>
        <w:rPr>
          <w:rFonts w:ascii="Times New Roman" w:eastAsia="Times New Roman" w:hAnsi="Times New Roman" w:cs="Times New Roman"/>
          <w:sz w:val="24"/>
          <w:szCs w:val="24"/>
        </w:rPr>
      </w:pPr>
    </w:p>
    <w:p w14:paraId="00000030" w14:textId="77777777" w:rsidR="00A518B9" w:rsidRDefault="006A217B">
      <w:pPr>
        <w:ind w:left="2160" w:hanging="720"/>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 xml:space="preserve">The “Minimal Clinical Elements for Cervical Cancer Detection and Diagnosis;” </w:t>
      </w:r>
    </w:p>
    <w:p w14:paraId="00000031" w14:textId="77777777" w:rsidR="00A518B9" w:rsidRDefault="006A217B">
      <w:pPr>
        <w:ind w:left="2160" w:hanging="720"/>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 xml:space="preserve">The “Colorectal Cancer Minimal Elements for Colorectal Cancer Detection and Diagnosis;” </w:t>
      </w:r>
    </w:p>
    <w:p w14:paraId="00000032" w14:textId="77777777" w:rsidR="00A518B9" w:rsidRDefault="006A217B">
      <w:pPr>
        <w:numPr>
          <w:ilvl w:val="0"/>
          <w:numId w:val="1"/>
        </w:numPr>
        <w:spacing w:after="0"/>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The “Minimal Clinical Elements fo</w:t>
      </w:r>
      <w:r>
        <w:rPr>
          <w:rFonts w:ascii="Times New Roman" w:eastAsia="Times New Roman" w:hAnsi="Times New Roman" w:cs="Times New Roman"/>
          <w:sz w:val="24"/>
          <w:szCs w:val="24"/>
        </w:rPr>
        <w:t>r Lung Cancer Detection and Diagnosis;”</w:t>
      </w:r>
    </w:p>
    <w:p w14:paraId="00000033" w14:textId="77777777" w:rsidR="00A518B9" w:rsidRDefault="00A518B9">
      <w:pPr>
        <w:spacing w:after="0"/>
        <w:ind w:left="2160"/>
        <w:rPr>
          <w:rFonts w:ascii="Times New Roman" w:eastAsia="Times New Roman" w:hAnsi="Times New Roman" w:cs="Times New Roman"/>
          <w:sz w:val="24"/>
          <w:szCs w:val="24"/>
        </w:rPr>
      </w:pPr>
    </w:p>
    <w:p w14:paraId="00000034" w14:textId="77777777" w:rsidR="00A518B9" w:rsidRDefault="006A217B">
      <w:pPr>
        <w:numPr>
          <w:ilvl w:val="0"/>
          <w:numId w:val="7"/>
        </w:numPr>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The “Oral Cancer Minimal Elements for Screening, Diagnosis, and Evaluation of Oral Lesions;”</w:t>
      </w:r>
    </w:p>
    <w:p w14:paraId="00000035" w14:textId="77777777" w:rsidR="00A518B9" w:rsidRDefault="006A217B">
      <w:pPr>
        <w:numPr>
          <w:ilvl w:val="0"/>
          <w:numId w:val="7"/>
        </w:numPr>
        <w:spacing w:after="0"/>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The “Prostate Cancer Minimal Clinical Elements for Information, Screening, Diagnosis, Treatment, and Follow up;”</w:t>
      </w:r>
    </w:p>
    <w:p w14:paraId="00000036" w14:textId="77777777" w:rsidR="00A518B9" w:rsidRDefault="00A518B9">
      <w:pPr>
        <w:spacing w:after="0"/>
        <w:ind w:left="2160"/>
        <w:rPr>
          <w:rFonts w:ascii="Times New Roman" w:eastAsia="Times New Roman" w:hAnsi="Times New Roman" w:cs="Times New Roman"/>
          <w:sz w:val="24"/>
          <w:szCs w:val="24"/>
        </w:rPr>
      </w:pPr>
    </w:p>
    <w:p w14:paraId="00000037" w14:textId="28D7D434" w:rsidR="00A518B9" w:rsidRPr="006A217B" w:rsidRDefault="006A217B">
      <w:pPr>
        <w:numPr>
          <w:ilvl w:val="0"/>
          <w:numId w:val="7"/>
        </w:numPr>
        <w:ind w:hanging="720"/>
        <w:rPr>
          <w:rFonts w:ascii="Times New Roman" w:eastAsia="Times New Roman" w:hAnsi="Times New Roman" w:cs="Times New Roman"/>
          <w:sz w:val="24"/>
          <w:szCs w:val="24"/>
        </w:rPr>
      </w:pPr>
      <w:r w:rsidRPr="006A217B">
        <w:rPr>
          <w:rFonts w:ascii="Times New Roman" w:eastAsia="Times New Roman" w:hAnsi="Times New Roman" w:cs="Times New Roman"/>
          <w:sz w:val="24"/>
          <w:szCs w:val="24"/>
        </w:rPr>
        <w:t xml:space="preserve">The </w:t>
      </w:r>
      <w:r w:rsidRPr="006A217B">
        <w:rPr>
          <w:rFonts w:ascii="Times New Roman" w:eastAsia="Times New Roman" w:hAnsi="Times New Roman" w:cs="Times New Roman"/>
          <w:sz w:val="24"/>
          <w:szCs w:val="24"/>
        </w:rPr>
        <w:t>“Minimal Clinical Elements for Colorectal</w:t>
      </w:r>
      <w:r w:rsidRPr="006A217B">
        <w:rPr>
          <w:rFonts w:ascii="Times New Roman" w:eastAsia="Times New Roman" w:hAnsi="Times New Roman" w:cs="Times New Roman"/>
          <w:sz w:val="24"/>
          <w:szCs w:val="24"/>
        </w:rPr>
        <w:t xml:space="preserve"> Cancer Detection and Diagnosis.”</w:t>
      </w:r>
      <w:bookmarkStart w:id="2" w:name="_GoBack"/>
      <w:bookmarkEnd w:id="2"/>
    </w:p>
    <w:sectPr w:rsidR="00A518B9" w:rsidRPr="006A217B">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ED357" w14:textId="77777777" w:rsidR="003413B3" w:rsidRDefault="003413B3">
      <w:pPr>
        <w:spacing w:after="0" w:line="240" w:lineRule="auto"/>
      </w:pPr>
      <w:r>
        <w:separator/>
      </w:r>
    </w:p>
  </w:endnote>
  <w:endnote w:type="continuationSeparator" w:id="0">
    <w:p w14:paraId="1F3DC8E3" w14:textId="77777777" w:rsidR="003413B3" w:rsidRDefault="0034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8" w14:textId="77777777" w:rsidR="00A518B9" w:rsidRDefault="006A217B">
    <w:pPr>
      <w:spacing w:after="0" w:line="240" w:lineRule="auto"/>
      <w:jc w:val="right"/>
    </w:pPr>
    <w:r>
      <w:rPr>
        <w:rFonts w:ascii="Times New Roman" w:eastAsia="Times New Roman" w:hAnsi="Times New Roman" w:cs="Times New Roman"/>
        <w:sz w:val="20"/>
        <w:szCs w:val="20"/>
      </w:rPr>
      <w:t>Provider Attachment 2023</w:t>
    </w:r>
  </w:p>
  <w:p w14:paraId="00000039" w14:textId="0612FFBA" w:rsidR="00A518B9" w:rsidRDefault="006A217B">
    <w:pPr>
      <w:tabs>
        <w:tab w:val="center" w:pos="4320"/>
        <w:tab w:val="right" w:pos="8640"/>
      </w:tabs>
      <w:spacing w:after="0" w:line="240" w:lineRule="auto"/>
      <w:jc w:val="right"/>
    </w:pPr>
    <w:r>
      <w:rPr>
        <w:rFonts w:ascii="Times New Roman" w:eastAsia="Times New Roman" w:hAnsi="Times New Roman" w:cs="Times New Roman"/>
        <w:sz w:val="20"/>
        <w:szCs w:val="20"/>
      </w:rPr>
      <w:t xml:space="preserve">Page </w:t>
    </w:r>
    <w:r>
      <w:fldChar w:fldCharType="begin"/>
    </w:r>
    <w:r>
      <w:instrText>PAGE</w:instrText>
    </w:r>
    <w:r>
      <w:fldChar w:fldCharType="separate"/>
    </w:r>
    <w:r>
      <w:rPr>
        <w:noProof/>
      </w:rPr>
      <w:t>2</w:t>
    </w:r>
    <w:r>
      <w:fldChar w:fldCharType="end"/>
    </w:r>
    <w:r>
      <w:rPr>
        <w:rFonts w:ascii="Times New Roman" w:eastAsia="Times New Roman" w:hAnsi="Times New Roman" w:cs="Times New Roman"/>
        <w:sz w:val="20"/>
        <w:szCs w:val="20"/>
      </w:rPr>
      <w:t xml:space="preserve"> of </w:t>
    </w:r>
    <w:r>
      <w:fldChar w:fldCharType="begin"/>
    </w:r>
    <w:r>
      <w:instrText>NUMPAGES</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F3558" w14:textId="77777777" w:rsidR="003413B3" w:rsidRDefault="003413B3">
      <w:pPr>
        <w:spacing w:after="0" w:line="240" w:lineRule="auto"/>
      </w:pPr>
      <w:r>
        <w:separator/>
      </w:r>
    </w:p>
  </w:footnote>
  <w:footnote w:type="continuationSeparator" w:id="0">
    <w:p w14:paraId="528240D6" w14:textId="77777777" w:rsidR="003413B3" w:rsidRDefault="003413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E7A49"/>
    <w:multiLevelType w:val="multilevel"/>
    <w:tmpl w:val="40F2E11E"/>
    <w:lvl w:ilvl="0">
      <w:start w:val="5"/>
      <w:numFmt w:val="decimal"/>
      <w:lvlText w:val="%1."/>
      <w:lvlJc w:val="left"/>
      <w:pPr>
        <w:ind w:left="2160" w:firstLine="1800"/>
      </w:pPr>
      <w:rPr>
        <w:vertAlign w:val="baseline"/>
      </w:rPr>
    </w:lvl>
    <w:lvl w:ilvl="1">
      <w:start w:val="1"/>
      <w:numFmt w:val="lowerLetter"/>
      <w:lvlText w:val="%2."/>
      <w:lvlJc w:val="left"/>
      <w:pPr>
        <w:ind w:left="2880" w:firstLine="2520"/>
      </w:pPr>
      <w:rPr>
        <w:vertAlign w:val="baseline"/>
      </w:rPr>
    </w:lvl>
    <w:lvl w:ilvl="2">
      <w:start w:val="1"/>
      <w:numFmt w:val="lowerRoman"/>
      <w:lvlText w:val="%3."/>
      <w:lvlJc w:val="right"/>
      <w:pPr>
        <w:ind w:left="3600" w:firstLine="3420"/>
      </w:pPr>
      <w:rPr>
        <w:vertAlign w:val="baseline"/>
      </w:rPr>
    </w:lvl>
    <w:lvl w:ilvl="3">
      <w:start w:val="1"/>
      <w:numFmt w:val="decimal"/>
      <w:lvlText w:val="%4."/>
      <w:lvlJc w:val="left"/>
      <w:pPr>
        <w:ind w:left="4320" w:firstLine="3960"/>
      </w:pPr>
      <w:rPr>
        <w:vertAlign w:val="baseline"/>
      </w:rPr>
    </w:lvl>
    <w:lvl w:ilvl="4">
      <w:start w:val="1"/>
      <w:numFmt w:val="lowerLetter"/>
      <w:lvlText w:val="%5."/>
      <w:lvlJc w:val="left"/>
      <w:pPr>
        <w:ind w:left="5040" w:firstLine="4680"/>
      </w:pPr>
      <w:rPr>
        <w:vertAlign w:val="baseline"/>
      </w:rPr>
    </w:lvl>
    <w:lvl w:ilvl="5">
      <w:start w:val="1"/>
      <w:numFmt w:val="lowerRoman"/>
      <w:lvlText w:val="%6."/>
      <w:lvlJc w:val="right"/>
      <w:pPr>
        <w:ind w:left="5760" w:firstLine="5580"/>
      </w:pPr>
      <w:rPr>
        <w:vertAlign w:val="baseline"/>
      </w:rPr>
    </w:lvl>
    <w:lvl w:ilvl="6">
      <w:start w:val="1"/>
      <w:numFmt w:val="decimal"/>
      <w:lvlText w:val="%7."/>
      <w:lvlJc w:val="left"/>
      <w:pPr>
        <w:ind w:left="6480" w:firstLine="6120"/>
      </w:pPr>
      <w:rPr>
        <w:vertAlign w:val="baseline"/>
      </w:rPr>
    </w:lvl>
    <w:lvl w:ilvl="7">
      <w:start w:val="1"/>
      <w:numFmt w:val="lowerLetter"/>
      <w:lvlText w:val="%8."/>
      <w:lvlJc w:val="left"/>
      <w:pPr>
        <w:ind w:left="7200" w:firstLine="6840"/>
      </w:pPr>
      <w:rPr>
        <w:vertAlign w:val="baseline"/>
      </w:rPr>
    </w:lvl>
    <w:lvl w:ilvl="8">
      <w:start w:val="1"/>
      <w:numFmt w:val="lowerRoman"/>
      <w:lvlText w:val="%9."/>
      <w:lvlJc w:val="right"/>
      <w:pPr>
        <w:ind w:left="7920" w:firstLine="7740"/>
      </w:pPr>
      <w:rPr>
        <w:vertAlign w:val="baseline"/>
      </w:rPr>
    </w:lvl>
  </w:abstractNum>
  <w:abstractNum w:abstractNumId="1" w15:restartNumberingAfterBreak="0">
    <w:nsid w:val="2D9560EF"/>
    <w:multiLevelType w:val="multilevel"/>
    <w:tmpl w:val="D5C69648"/>
    <w:lvl w:ilvl="0">
      <w:start w:val="1"/>
      <w:numFmt w:val="upperLetter"/>
      <w:lvlText w:val="%1."/>
      <w:lvlJc w:val="left"/>
      <w:pPr>
        <w:ind w:left="720" w:firstLine="360"/>
      </w:pPr>
      <w:rPr>
        <w:color w:val="00000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rFonts w:ascii="Arial" w:eastAsia="Arial" w:hAnsi="Arial" w:cs="Arial"/>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2FC96229"/>
    <w:multiLevelType w:val="multilevel"/>
    <w:tmpl w:val="18A863CE"/>
    <w:lvl w:ilvl="0">
      <w:start w:val="6"/>
      <w:numFmt w:val="decimal"/>
      <w:lvlText w:val="%1."/>
      <w:lvlJc w:val="left"/>
      <w:pPr>
        <w:ind w:left="2160" w:firstLine="1800"/>
      </w:pPr>
      <w:rPr>
        <w:vertAlign w:val="baseline"/>
      </w:rPr>
    </w:lvl>
    <w:lvl w:ilvl="1">
      <w:start w:val="1"/>
      <w:numFmt w:val="lowerLetter"/>
      <w:lvlText w:val="%2."/>
      <w:lvlJc w:val="left"/>
      <w:pPr>
        <w:ind w:left="2880" w:firstLine="2520"/>
      </w:pPr>
      <w:rPr>
        <w:vertAlign w:val="baseline"/>
      </w:rPr>
    </w:lvl>
    <w:lvl w:ilvl="2">
      <w:start w:val="1"/>
      <w:numFmt w:val="lowerRoman"/>
      <w:lvlText w:val="%3."/>
      <w:lvlJc w:val="right"/>
      <w:pPr>
        <w:ind w:left="3600" w:firstLine="3420"/>
      </w:pPr>
      <w:rPr>
        <w:vertAlign w:val="baseline"/>
      </w:rPr>
    </w:lvl>
    <w:lvl w:ilvl="3">
      <w:start w:val="1"/>
      <w:numFmt w:val="decimal"/>
      <w:lvlText w:val="%4."/>
      <w:lvlJc w:val="left"/>
      <w:pPr>
        <w:ind w:left="4320" w:firstLine="3960"/>
      </w:pPr>
      <w:rPr>
        <w:vertAlign w:val="baseline"/>
      </w:rPr>
    </w:lvl>
    <w:lvl w:ilvl="4">
      <w:start w:val="1"/>
      <w:numFmt w:val="lowerLetter"/>
      <w:lvlText w:val="%5."/>
      <w:lvlJc w:val="left"/>
      <w:pPr>
        <w:ind w:left="5040" w:firstLine="4680"/>
      </w:pPr>
      <w:rPr>
        <w:vertAlign w:val="baseline"/>
      </w:rPr>
    </w:lvl>
    <w:lvl w:ilvl="5">
      <w:start w:val="1"/>
      <w:numFmt w:val="lowerRoman"/>
      <w:lvlText w:val="%6."/>
      <w:lvlJc w:val="right"/>
      <w:pPr>
        <w:ind w:left="5760" w:firstLine="5580"/>
      </w:pPr>
      <w:rPr>
        <w:vertAlign w:val="baseline"/>
      </w:rPr>
    </w:lvl>
    <w:lvl w:ilvl="6">
      <w:start w:val="1"/>
      <w:numFmt w:val="decimal"/>
      <w:lvlText w:val="%7."/>
      <w:lvlJc w:val="left"/>
      <w:pPr>
        <w:ind w:left="6480" w:firstLine="6120"/>
      </w:pPr>
      <w:rPr>
        <w:vertAlign w:val="baseline"/>
      </w:rPr>
    </w:lvl>
    <w:lvl w:ilvl="7">
      <w:start w:val="1"/>
      <w:numFmt w:val="lowerLetter"/>
      <w:lvlText w:val="%8."/>
      <w:lvlJc w:val="left"/>
      <w:pPr>
        <w:ind w:left="7200" w:firstLine="6840"/>
      </w:pPr>
      <w:rPr>
        <w:vertAlign w:val="baseline"/>
      </w:rPr>
    </w:lvl>
    <w:lvl w:ilvl="8">
      <w:start w:val="1"/>
      <w:numFmt w:val="lowerRoman"/>
      <w:lvlText w:val="%9."/>
      <w:lvlJc w:val="right"/>
      <w:pPr>
        <w:ind w:left="7920" w:firstLine="7740"/>
      </w:pPr>
      <w:rPr>
        <w:vertAlign w:val="baseline"/>
      </w:rPr>
    </w:lvl>
  </w:abstractNum>
  <w:abstractNum w:abstractNumId="3" w15:restartNumberingAfterBreak="0">
    <w:nsid w:val="4CAE7040"/>
    <w:multiLevelType w:val="multilevel"/>
    <w:tmpl w:val="2D687768"/>
    <w:lvl w:ilvl="0">
      <w:start w:val="1"/>
      <w:numFmt w:val="decimal"/>
      <w:lvlText w:val="%1."/>
      <w:lvlJc w:val="left"/>
      <w:pPr>
        <w:ind w:left="180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4" w15:restartNumberingAfterBreak="0">
    <w:nsid w:val="5F976199"/>
    <w:multiLevelType w:val="multilevel"/>
    <w:tmpl w:val="0C86CE56"/>
    <w:lvl w:ilvl="0">
      <w:start w:val="1"/>
      <w:numFmt w:val="upperLetter"/>
      <w:lvlText w:val="%1."/>
      <w:lvlJc w:val="left"/>
      <w:pPr>
        <w:ind w:left="1080" w:firstLine="720"/>
      </w:pPr>
      <w:rPr>
        <w:u w:val="none"/>
      </w:rPr>
    </w:lvl>
    <w:lvl w:ilvl="1">
      <w:start w:val="1"/>
      <w:numFmt w:val="lowerLetter"/>
      <w:lvlText w:val="%2."/>
      <w:lvlJc w:val="left"/>
      <w:pPr>
        <w:ind w:left="1800" w:firstLine="1440"/>
      </w:pPr>
      <w:rPr>
        <w:u w:val="none"/>
      </w:rPr>
    </w:lvl>
    <w:lvl w:ilvl="2">
      <w:start w:val="1"/>
      <w:numFmt w:val="lowerRoman"/>
      <w:lvlText w:val="%3."/>
      <w:lvlJc w:val="right"/>
      <w:pPr>
        <w:ind w:left="2520" w:firstLine="2340"/>
      </w:pPr>
      <w:rPr>
        <w:u w:val="none"/>
      </w:rPr>
    </w:lvl>
    <w:lvl w:ilvl="3">
      <w:start w:val="1"/>
      <w:numFmt w:val="decimal"/>
      <w:lvlText w:val="%4."/>
      <w:lvlJc w:val="left"/>
      <w:pPr>
        <w:ind w:left="3240" w:firstLine="2880"/>
      </w:pPr>
      <w:rPr>
        <w:u w:val="none"/>
      </w:rPr>
    </w:lvl>
    <w:lvl w:ilvl="4">
      <w:start w:val="1"/>
      <w:numFmt w:val="lowerLetter"/>
      <w:lvlText w:val="%5."/>
      <w:lvlJc w:val="left"/>
      <w:pPr>
        <w:ind w:left="3960" w:firstLine="3600"/>
      </w:pPr>
      <w:rPr>
        <w:u w:val="none"/>
      </w:rPr>
    </w:lvl>
    <w:lvl w:ilvl="5">
      <w:start w:val="1"/>
      <w:numFmt w:val="lowerRoman"/>
      <w:lvlText w:val="%6."/>
      <w:lvlJc w:val="right"/>
      <w:pPr>
        <w:ind w:left="4680" w:firstLine="4500"/>
      </w:pPr>
      <w:rPr>
        <w:u w:val="none"/>
      </w:rPr>
    </w:lvl>
    <w:lvl w:ilvl="6">
      <w:start w:val="1"/>
      <w:numFmt w:val="decimal"/>
      <w:lvlText w:val="%7."/>
      <w:lvlJc w:val="left"/>
      <w:pPr>
        <w:ind w:left="5400" w:firstLine="5040"/>
      </w:pPr>
      <w:rPr>
        <w:u w:val="none"/>
      </w:rPr>
    </w:lvl>
    <w:lvl w:ilvl="7">
      <w:start w:val="1"/>
      <w:numFmt w:val="lowerLetter"/>
      <w:lvlText w:val="%8."/>
      <w:lvlJc w:val="left"/>
      <w:pPr>
        <w:ind w:left="6120" w:firstLine="5760"/>
      </w:pPr>
      <w:rPr>
        <w:u w:val="none"/>
      </w:rPr>
    </w:lvl>
    <w:lvl w:ilvl="8">
      <w:start w:val="1"/>
      <w:numFmt w:val="lowerRoman"/>
      <w:lvlText w:val="%9."/>
      <w:lvlJc w:val="right"/>
      <w:pPr>
        <w:ind w:left="6840" w:firstLine="6660"/>
      </w:pPr>
      <w:rPr>
        <w:u w:val="none"/>
      </w:rPr>
    </w:lvl>
  </w:abstractNum>
  <w:abstractNum w:abstractNumId="5" w15:restartNumberingAfterBreak="0">
    <w:nsid w:val="67493211"/>
    <w:multiLevelType w:val="multilevel"/>
    <w:tmpl w:val="E6E22D58"/>
    <w:lvl w:ilvl="0">
      <w:start w:val="2"/>
      <w:numFmt w:val="decimal"/>
      <w:lvlText w:val="%1."/>
      <w:lvlJc w:val="left"/>
      <w:pPr>
        <w:ind w:left="180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6" w15:restartNumberingAfterBreak="0">
    <w:nsid w:val="7CB86A27"/>
    <w:multiLevelType w:val="multilevel"/>
    <w:tmpl w:val="482AFA90"/>
    <w:lvl w:ilvl="0">
      <w:start w:val="1"/>
      <w:numFmt w:val="upperLetter"/>
      <w:lvlText w:val="%1."/>
      <w:lvlJc w:val="left"/>
      <w:pPr>
        <w:ind w:left="720" w:firstLine="360"/>
      </w:pPr>
      <w:rPr>
        <w:color w:val="00000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rFonts w:ascii="Arial" w:eastAsia="Arial" w:hAnsi="Arial" w:cs="Arial"/>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 w:numId="2">
    <w:abstractNumId w:val="6"/>
  </w:num>
  <w:num w:numId="3">
    <w:abstractNumId w:val="5"/>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8B9"/>
    <w:rsid w:val="000A5FB3"/>
    <w:rsid w:val="003413B3"/>
    <w:rsid w:val="006A217B"/>
    <w:rsid w:val="009D3FDF"/>
    <w:rsid w:val="00A227F6"/>
    <w:rsid w:val="00A518B9"/>
    <w:rsid w:val="00E95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C8B2E"/>
  <w15:docId w15:val="{F3F682A9-AA1D-4FF3-8304-55FE0D84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widowControl w:val="0"/>
      <w:spacing w:after="0" w:line="240" w:lineRule="auto"/>
      <w:ind w:firstLine="1080"/>
      <w:outlineLvl w:val="0"/>
    </w:pPr>
    <w:rPr>
      <w:rFonts w:ascii="Times New Roman" w:eastAsia="Times New Roman" w:hAnsi="Times New Roman" w:cs="Times New Roman"/>
      <w:sz w:val="24"/>
      <w:szCs w:val="24"/>
      <w:u w:val="single"/>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sz w:val="24"/>
      <w:szCs w:val="24"/>
    </w:rPr>
  </w:style>
  <w:style w:type="paragraph" w:styleId="Heading5">
    <w:name w:val="heading 5"/>
    <w:basedOn w:val="Normal"/>
    <w:next w:val="Normal"/>
    <w:uiPriority w:val="9"/>
    <w:semiHidden/>
    <w:unhideWhenUsed/>
    <w:qFormat/>
    <w:pPr>
      <w:keepNext/>
      <w:keepLines/>
      <w:spacing w:before="220" w:after="40"/>
      <w:contextualSpacing/>
      <w:outlineLvl w:val="4"/>
    </w:pPr>
    <w:rPr>
      <w:b/>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widowControl w:val="0"/>
      <w:spacing w:after="0" w:line="240" w:lineRule="auto"/>
      <w:jc w:val="center"/>
    </w:pPr>
    <w:rPr>
      <w:rFonts w:ascii="Times New Roman" w:eastAsia="Times New Roman" w:hAnsi="Times New Roman" w:cs="Times New Roman"/>
      <w:b/>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26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A54"/>
    <w:rPr>
      <w:rFonts w:ascii="Tahoma" w:hAnsi="Tahoma" w:cs="Tahoma"/>
      <w:sz w:val="16"/>
      <w:szCs w:val="16"/>
    </w:rPr>
  </w:style>
  <w:style w:type="paragraph" w:styleId="Header">
    <w:name w:val="header"/>
    <w:basedOn w:val="Normal"/>
    <w:link w:val="HeaderChar"/>
    <w:uiPriority w:val="99"/>
    <w:unhideWhenUsed/>
    <w:rsid w:val="00526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A54"/>
  </w:style>
  <w:style w:type="paragraph" w:styleId="Footer">
    <w:name w:val="footer"/>
    <w:basedOn w:val="Normal"/>
    <w:link w:val="FooterChar"/>
    <w:uiPriority w:val="99"/>
    <w:unhideWhenUsed/>
    <w:rsid w:val="00526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A54"/>
  </w:style>
  <w:style w:type="paragraph" w:styleId="CommentSubject">
    <w:name w:val="annotation subject"/>
    <w:basedOn w:val="CommentText"/>
    <w:next w:val="CommentText"/>
    <w:link w:val="CommentSubjectChar"/>
    <w:uiPriority w:val="99"/>
    <w:semiHidden/>
    <w:unhideWhenUsed/>
    <w:rsid w:val="00490FD1"/>
    <w:rPr>
      <w:b/>
      <w:bCs/>
    </w:rPr>
  </w:style>
  <w:style w:type="character" w:customStyle="1" w:styleId="CommentSubjectChar">
    <w:name w:val="Comment Subject Char"/>
    <w:basedOn w:val="CommentTextChar"/>
    <w:link w:val="CommentSubject"/>
    <w:uiPriority w:val="99"/>
    <w:semiHidden/>
    <w:rsid w:val="00490F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GDTKXijFs1PQoEIccM6WjClcNA==">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812</Words>
  <Characters>4633</Characters>
  <Application>Microsoft Office Word</Application>
  <DocSecurity>0</DocSecurity>
  <Lines>38</Lines>
  <Paragraphs>10</Paragraphs>
  <ScaleCrop>false</ScaleCrop>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Domingo</dc:creator>
  <cp:lastModifiedBy>Hillery Tsumba</cp:lastModifiedBy>
  <cp:revision>5</cp:revision>
  <dcterms:created xsi:type="dcterms:W3CDTF">2016-12-12T20:42:00Z</dcterms:created>
  <dcterms:modified xsi:type="dcterms:W3CDTF">2023-05-17T20:50:00Z</dcterms:modified>
</cp:coreProperties>
</file>